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0FDF7B">
      <w:pPr>
        <w:spacing w:after="0" w:line="58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sz w:val="32"/>
          <w:szCs w:val="32"/>
        </w:rPr>
        <w:t>2</w:t>
      </w:r>
    </w:p>
    <w:p w14:paraId="0A9CD62F">
      <w:pPr>
        <w:spacing w:after="0" w:line="580" w:lineRule="exact"/>
        <w:rPr>
          <w:rFonts w:ascii="Times New Roman" w:hAnsi="Times New Roman" w:eastAsia="方正黑体_GBK" w:cs="Times New Roman"/>
          <w:sz w:val="32"/>
          <w:szCs w:val="32"/>
        </w:rPr>
      </w:pPr>
    </w:p>
    <w:p w14:paraId="4BAFD0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240" w:lineRule="auto"/>
        <w:jc w:val="center"/>
        <w:textAlignment w:val="auto"/>
        <w:rPr>
          <w:rFonts w:ascii="Times New Roman" w:hAnsi="Times New Roman" w:eastAsia="方正小标宋简体" w:cs="Times New Roman"/>
          <w:sz w:val="44"/>
          <w:szCs w:val="44"/>
        </w:rPr>
      </w:pPr>
      <w:bookmarkStart w:id="2" w:name="_GoBack"/>
      <w:r>
        <w:rPr>
          <w:rFonts w:ascii="Times New Roman" w:hAnsi="Times New Roman" w:eastAsia="方正小标宋简体" w:cs="Times New Roman"/>
          <w:sz w:val="44"/>
          <w:szCs w:val="44"/>
        </w:rPr>
        <w:t>试点任务典型经验</w:t>
      </w:r>
    </w:p>
    <w:bookmarkEnd w:id="2"/>
    <w:p w14:paraId="0DCAD93A">
      <w:pPr>
        <w:widowControl/>
        <w:spacing w:after="0" w:line="580" w:lineRule="exact"/>
        <w:jc w:val="left"/>
        <w:rPr>
          <w:rFonts w:hint="default" w:ascii="Times New Roman" w:hAnsi="Times New Roman" w:eastAsia="仿宋_GB2312" w:cs="Times New Roman"/>
          <w:color w:val="FF0000"/>
          <w:sz w:val="32"/>
          <w:szCs w:val="30"/>
        </w:rPr>
      </w:pPr>
    </w:p>
    <w:p w14:paraId="023430FE">
      <w:pPr>
        <w:widowControl w:val="0"/>
        <w:overflowPunct w:val="0"/>
        <w:spacing w:after="0" w:line="58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bookmarkStart w:id="0" w:name="OLE_LINK5"/>
      <w:bookmarkStart w:id="1" w:name="OLE_LINK4"/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一、体系化提升危险货物车辆和电动汽车过海能力</w:t>
      </w:r>
    </w:p>
    <w:p w14:paraId="237FDD8C">
      <w:pPr>
        <w:widowControl w:val="0"/>
        <w:overflowPunct w:val="0"/>
        <w:spacing w:after="0" w:line="58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通过技术创新、标准创新和模式创新，努力破解琼州海峡危险货物滚装运输码头资源、布置受限及电动汽车过海难、过海慢、安全风险高等难题。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highlight w:val="none"/>
          <w:lang w:val="en-US" w:eastAsia="zh-CN" w:bidi="ar-SA"/>
        </w:rPr>
        <w:t>一是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提出滚装船丁靠系泊安全论证方法与判定标准，提高丁靠码头滚装船的等级上限，促进港口岸线资源合理使用。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编制危险货物滚装运输系列标准规范，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形成“安全技术+作业规范+监督管理”整套标准，进一步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明确滚装码头及船舶作业对消防安全的技术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要求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、作业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要求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和管理要求。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highlight w:val="none"/>
          <w:lang w:val="en-US" w:eastAsia="zh-CN" w:bidi="ar-SA"/>
        </w:rPr>
        <w:t>三是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提出琼州海峡电动汽车人车分船运输的专班模式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明确电动汽车船上积载与隔离等作业管理要求，加强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新能源车辆装载位置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监控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及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消防安全设施配备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提升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运输安全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保障能力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bookmarkEnd w:id="0"/>
    <w:bookmarkEnd w:id="1"/>
    <w:p w14:paraId="26949342">
      <w:pPr>
        <w:widowControl w:val="0"/>
        <w:overflowPunct w:val="0"/>
        <w:spacing w:after="0" w:line="58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二、构建港口安责险“保险+服务”新模式</w:t>
      </w:r>
    </w:p>
    <w:p w14:paraId="7FAC9F20">
      <w:pPr>
        <w:widowControl w:val="0"/>
        <w:overflowPunct w:val="0"/>
        <w:spacing w:after="0" w:line="580" w:lineRule="exact"/>
        <w:ind w:firstLine="640" w:firstLineChars="200"/>
        <w:jc w:val="both"/>
        <w:textAlignment w:val="baseline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构建“政府搭台、企业受益”的港口安责险新模式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推动港口安全治理模式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从事后处置向事前预防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转型。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default" w:ascii="Times New Roman" w:hAnsi="Times New Roman" w:eastAsia="仿宋_GB2312" w:cs="Times New Roman"/>
          <w:b/>
          <w:bCs w:val="0"/>
          <w:kern w:val="2"/>
          <w:sz w:val="32"/>
          <w:szCs w:val="32"/>
          <w:lang w:val="en-US" w:eastAsia="zh-CN" w:bidi="ar-SA"/>
        </w:rPr>
        <w:t>打造特色产品。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立足港口企业生产实际与行业特性，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制定特色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保障方案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保费方案，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着力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扩大保障范围与额度，构建高效理赔通道，提升产品吸引力。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default" w:ascii="Times New Roman" w:hAnsi="Times New Roman" w:eastAsia="仿宋_GB2312" w:cs="Times New Roman"/>
          <w:b/>
          <w:bCs w:val="0"/>
          <w:kern w:val="2"/>
          <w:sz w:val="32"/>
          <w:szCs w:val="32"/>
          <w:lang w:val="en-US" w:eastAsia="zh-CN" w:bidi="ar-SA"/>
        </w:rPr>
        <w:t>提升服务规范性。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制定港口领域事故预防技术服务规范，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提供安评报告回头看、动火作业视频监控与现场抽查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特色服务内容。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u w:val="none"/>
          <w:lang w:val="en-US" w:eastAsia="zh-CN" w:bidi="ar-SA"/>
        </w:rPr>
        <w:t>建立常态化工作调度与指导服务机制，为企业提供针对性的全流程服务指导，形成政策落地、服务到位、企业受益的良性循环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三是</w:t>
      </w:r>
      <w:r>
        <w:rPr>
          <w:rFonts w:hint="default" w:ascii="Times New Roman" w:hAnsi="Times New Roman" w:eastAsia="仿宋_GB2312" w:cs="Times New Roman"/>
          <w:b/>
          <w:bCs w:val="0"/>
          <w:kern w:val="2"/>
          <w:sz w:val="32"/>
          <w:szCs w:val="32"/>
          <w:lang w:val="en-US" w:eastAsia="zh-CN" w:bidi="ar-SA"/>
        </w:rPr>
        <w:t>深化科技赋能。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研发港口安责险数字化管理平台，创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事故预防服务“一企一档”管理模式，整合投保、风控、服务、理赔全链条数据，提升风险管理的精准性、服务的可追溯性和监管的便捷性。截至2025年底，宁波市“甬港安”投保企业达80家，纳保人数突破2万人，开展事故预防技术服务650余次，发现事故隐患2300余条，事故隐患到期整改率100%，推动传统保险由“事后救济”向“事前预防—事中监控—事后闭环”全周期防控转变。</w:t>
      </w:r>
    </w:p>
    <w:p w14:paraId="2063CC9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43BCD"/>
    <w:rsid w:val="011768D6"/>
    <w:rsid w:val="7724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2026-04-01T08:36:00Z</dcterms:created>
  <dc:creator> </dc:creator>
  <cp:lastModifiedBy> </cp:lastModifiedBy>
  <dcterms:modified xsi:type="dcterms:W3CDTF">2026-04-01T08:37:43Z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33C89DF65D52484888D28289FC134F42_13</vt:lpwstr>
  </property>
  <property fmtid="{D5CDD505-2E9C-101B-9397-08002B2CF9AE}" pid="4" name="KSOTemplateDocerSaveRecord">
    <vt:lpwstr>eyJoZGlkIjoiMjIwZDcwNzQ2Y2Q0ZmM3NWJhYmU5ZTIxMmVkNGYwODIiLCJ1c2VySWQiOiIzNjg3NDIyNzAifQ==</vt:lpwstr>
  </property>
</Properties>
</file>