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FDE854">
      <w:pPr>
        <w:overflowPunct w:val="0"/>
        <w:topLinePunct/>
        <w:adjustRightInd w:val="0"/>
        <w:spacing w:line="580" w:lineRule="exact"/>
        <w:rPr>
          <w:rFonts w:ascii="黑体" w:hAnsi="黑体" w:eastAsia="黑体" w:cs="方正黑体_GBK"/>
          <w:sz w:val="32"/>
          <w:szCs w:val="32"/>
        </w:rPr>
      </w:pPr>
      <w:r>
        <w:rPr>
          <w:rFonts w:hint="eastAsia" w:ascii="黑体" w:hAnsi="黑体" w:eastAsia="黑体" w:cs="方正黑体_GBK"/>
          <w:sz w:val="32"/>
          <w:szCs w:val="32"/>
        </w:rPr>
        <w:t>附件</w:t>
      </w:r>
      <w:r>
        <w:rPr>
          <w:rFonts w:ascii="Times New Roman" w:hAnsi="Times New Roman" w:eastAsia="黑体"/>
          <w:sz w:val="32"/>
          <w:szCs w:val="32"/>
        </w:rPr>
        <w:t>2</w:t>
      </w:r>
    </w:p>
    <w:p w14:paraId="7DC6568D">
      <w:pPr>
        <w:overflowPunct w:val="0"/>
        <w:topLinePunct/>
        <w:adjustRightInd w:val="0"/>
        <w:snapToGrid w:val="0"/>
        <w:jc w:val="center"/>
        <w:rPr>
          <w:rFonts w:hint="eastAsia" w:ascii="方正小标宋简体" w:hAnsi="方正黑体_GBK" w:eastAsia="方正小标宋简体" w:cs="方正黑体_GBK"/>
          <w:sz w:val="32"/>
          <w:szCs w:val="32"/>
        </w:rPr>
      </w:pPr>
      <w:bookmarkStart w:id="0" w:name="_GoBack"/>
      <w:r>
        <w:rPr>
          <w:rFonts w:hint="eastAsia" w:ascii="方正小标宋简体" w:hAnsi="方正小标宋_GBK" w:eastAsia="方正小标宋简体" w:cs="方正小标宋_GBK"/>
          <w:spacing w:val="-11"/>
          <w:sz w:val="44"/>
          <w:szCs w:val="44"/>
        </w:rPr>
        <w:t>试点任务典型经验</w:t>
      </w:r>
    </w:p>
    <w:bookmarkEnd w:id="0"/>
    <w:p w14:paraId="47887C83">
      <w:pPr>
        <w:overflowPunct w:val="0"/>
        <w:topLinePunct/>
        <w:adjustRightInd w:val="0"/>
        <w:ind w:firstLine="640" w:firstLineChars="200"/>
        <w:rPr>
          <w:rFonts w:hint="eastAsia" w:ascii="方正黑体_GBK" w:hAnsi="方正黑体_GBK" w:eastAsia="方正黑体_GBK" w:cs="方正黑体_GBK"/>
          <w:b/>
          <w:bCs/>
          <w:sz w:val="32"/>
          <w:szCs w:val="32"/>
        </w:rPr>
      </w:pPr>
    </w:p>
    <w:p w14:paraId="308EB6F4">
      <w:pPr>
        <w:overflowPunct w:val="0"/>
        <w:topLinePunct/>
        <w:spacing w:line="580" w:lineRule="exact"/>
        <w:ind w:firstLine="640" w:firstLineChars="200"/>
        <w:rPr>
          <w:rFonts w:hint="eastAsia" w:ascii="黑体" w:hAnsi="黑体" w:eastAsia="黑体" w:cs="方正黑体_GBK"/>
          <w:sz w:val="32"/>
          <w:szCs w:val="32"/>
        </w:rPr>
      </w:pPr>
      <w:r>
        <w:rPr>
          <w:rFonts w:hint="eastAsia" w:ascii="黑体" w:hAnsi="黑体" w:eastAsia="黑体" w:cs="方正黑体_GBK"/>
          <w:sz w:val="32"/>
          <w:szCs w:val="32"/>
        </w:rPr>
        <w:t>一、构建“五个一”组织体系，强化源头治超效能</w:t>
      </w:r>
    </w:p>
    <w:p w14:paraId="6429E22D">
      <w:pPr>
        <w:overflowPunct w:val="0"/>
        <w:topLinePunct/>
        <w:spacing w:line="580" w:lineRule="exact"/>
        <w:ind w:firstLine="640" w:firstLineChars="200"/>
        <w:rPr>
          <w:rFonts w:hint="eastAsia" w:ascii="仿宋_GB2312" w:hAnsi="GWZT-EN" w:eastAsia="仿宋_GB2312"/>
          <w:sz w:val="32"/>
          <w:szCs w:val="32"/>
        </w:rPr>
      </w:pPr>
      <w:r>
        <w:rPr>
          <w:rFonts w:hint="eastAsia" w:ascii="仿宋_GB2312" w:hAnsi="GWZT-EN" w:eastAsia="仿宋_GB2312"/>
          <w:sz w:val="32"/>
          <w:szCs w:val="32"/>
        </w:rPr>
        <w:t>山西省针对治超工作中存在的责任分散、推进合力不足等突出问题，创新构建“省统筹、市组织、县落实、乡监管、企尽责”的“五个一”组织体系。一是加强省级统筹。建立由分管副省长任召集人的山西省治理非法超限超载车辆工作联席会议制度，成员包括省交通运输厅、公安厅、自然资源厅、应急管理厅、市场监管局等12个单位，统筹推进全省治超工作的规划部署、部门协调与重点任务落实等工作，多次组织全省治超专家开展项目攻坚，强力推动治超工作。二是压实市县责任。建立由市政府主要领导牵头的工作推进机制，实行重大事项统一决策、重点任务统一部署。市级政府制定任务清单和推进台账，明确各项工作的推进标准、时间节点与责任分工，统一规范工作推进流程。县级政府负责企业组织、设备建设和工程质量验收等，形成“任务部署－推进实施－验收考</w:t>
      </w:r>
      <w:r>
        <w:rPr>
          <w:rFonts w:hint="eastAsia" w:ascii="仿宋_GB2312" w:hAnsi="GWZT-EN" w:eastAsia="仿宋_GB2312"/>
          <w:spacing w:val="6"/>
          <w:sz w:val="32"/>
          <w:szCs w:val="32"/>
        </w:rPr>
        <w:t>核”的责任闭环管理体系。三是推动监管下沉。明确乡镇在治超工作中的属地监管职责，承担辖区内货运企业排查、治超设备安装协调、日常巡查检查及异常数据初查等工作，推动治超工作常态化、前移化监管。四是强化部门协同。由市政府牵头组建工作专班，交通、公安、工业和信息化、应急管理、市场监管等多部门协同联动，实施日调度、日通报，打通行业壁垒，形成跨部门齐抓共管的工作格局。五是落实企业主体责任。通过企业责任清单、建设进度公示和集中培训，推动企业由被动管理向主动建设、主动治理转变，切实履行超限超载治理主体责任。</w:t>
      </w:r>
    </w:p>
    <w:p w14:paraId="1B5B88C2">
      <w:pPr>
        <w:overflowPunct w:val="0"/>
        <w:topLinePunct/>
        <w:spacing w:line="580" w:lineRule="exact"/>
        <w:ind w:firstLine="640" w:firstLineChars="200"/>
        <w:rPr>
          <w:rFonts w:hint="eastAsia" w:ascii="黑体" w:hAnsi="黑体" w:eastAsia="黑体" w:cs="方正黑体_GBK"/>
          <w:sz w:val="32"/>
          <w:szCs w:val="32"/>
        </w:rPr>
      </w:pPr>
      <w:r>
        <w:rPr>
          <w:rFonts w:hint="eastAsia" w:ascii="黑体" w:hAnsi="黑体" w:eastAsia="黑体" w:cs="方正黑体_GBK"/>
          <w:sz w:val="32"/>
          <w:szCs w:val="32"/>
        </w:rPr>
        <w:t>二、分类识别场景化，精准破题监管难题</w:t>
      </w:r>
    </w:p>
    <w:p w14:paraId="53ACCB04">
      <w:pPr>
        <w:overflowPunct w:val="0"/>
        <w:topLinePunct/>
        <w:spacing w:line="580" w:lineRule="exact"/>
        <w:ind w:firstLine="640" w:firstLineChars="200"/>
        <w:rPr>
          <w:rFonts w:hint="eastAsia" w:ascii="仿宋_GB2312" w:hAnsi="GWZT-EN" w:eastAsia="仿宋_GB2312"/>
          <w:spacing w:val="-6"/>
          <w:sz w:val="32"/>
          <w:szCs w:val="32"/>
        </w:rPr>
      </w:pPr>
      <w:r>
        <w:rPr>
          <w:rFonts w:hint="eastAsia" w:ascii="仿宋_GB2312" w:hAnsi="GWZT-EN" w:eastAsia="仿宋_GB2312"/>
          <w:sz w:val="32"/>
          <w:szCs w:val="32"/>
        </w:rPr>
        <w:t>针对源头企业规避监管、人工巡查难识别等问题，山西省交通运输厅指导阳泉市构建以大数据比对、算法识别和规则固化为核心的智慧治超规则体系，系统梳理14类典型违法场景，推动监管由“人盯人”向“数据决策”转变。一是以规则建模重塑治理逻辑，将履职规范、数据质量、出厂流程等关键环节纳入平台自动比对和预警机制，通过责任压实、限期整改和现场督导等措施，推动企业制度化、规范化、自觉化履责。二是以分类识别强化异常管控，依托网络监测、抓拍比对、轨迹校验等模型精准识别不称重出厂、断网逃避监管、车辆异常出入等隐蔽行为。三是以闭环处置补齐链条短板，通过电子围栏、北斗轨迹与称重记录比对查处“报停不真停”，通过车辆资质比对拦截证照异常和北斗离线车辆，利用轨迹聚类筛查并取缔隐蔽装卸点，实现源头、环节、过程全链条无盲区监管。通过智能识别、自动预警和闭环处置有机结合，形成过程可记录、异常可识别、处置可跟踪、责任可倒查的数字化治理模式，有效突破人工监管局限，实现对超限超载行为的精准识别、提前预警和源头拦截。</w:t>
      </w:r>
    </w:p>
    <w:p w14:paraId="27853325">
      <w:pPr>
        <w:overflowPunct w:val="0"/>
        <w:topLinePunct/>
        <w:spacing w:line="580" w:lineRule="exact"/>
        <w:ind w:firstLine="640" w:firstLineChars="200"/>
        <w:rPr>
          <w:rFonts w:hint="eastAsia" w:ascii="黑体" w:hAnsi="黑体" w:eastAsia="黑体" w:cs="方正黑体_GBK"/>
          <w:sz w:val="32"/>
          <w:szCs w:val="32"/>
        </w:rPr>
      </w:pPr>
      <w:r>
        <w:rPr>
          <w:rFonts w:hint="eastAsia" w:ascii="黑体" w:hAnsi="黑体" w:eastAsia="黑体" w:cs="方正黑体_GBK"/>
          <w:sz w:val="32"/>
          <w:szCs w:val="32"/>
        </w:rPr>
        <w:t>三、构建闭环治超全新体系</w:t>
      </w:r>
    </w:p>
    <w:p w14:paraId="4D496453">
      <w:r>
        <w:rPr>
          <w:rFonts w:hint="eastAsia" w:ascii="仿宋_GB2312" w:hAnsi="GWZT-EN" w:eastAsia="仿宋_GB2312"/>
          <w:sz w:val="32"/>
          <w:szCs w:val="32"/>
        </w:rPr>
        <w:t>围绕传统治超取证难、追溯难、监管弱等问题，山西省交通运输厅指导阳泉市通过重塑“源头－路面－源尾”全过程监管链条，以数智化手段重塑治超模式，构建起“全过程记录、全业务上线、全路网监控、全链条管理、全方位服务”的监管服务新格局。一是通过整合源头称重、路面检测、出口复核、卡口抓拍和北斗轨迹等多源数据，形成可查、可溯、可举证的一体化数据链路，实现每车货物“从哪装、怎么跑、到哪卸”全过程可验证。二是依托大数据模型提炼典型违法场景，精准识别逃避监管的各种隐蔽行为，推动监管从“人盯人”向“数导向”转变；通过“线上巡查+线下核查”机制，构建“研判－调度－核查－立案－整改”一体化闭环流程，实现少巡查、高命中、低成本的执法模式。三是建立风险画像，对高风险车辆、企业、源头单位实施分级分类监管，做到“无事不扰、有迹必查、有案必溯”。闭环体系运行以来，阳泉市源头超限率降至</w:t>
      </w:r>
      <w:r>
        <w:rPr>
          <w:rFonts w:ascii="Times New Roman" w:hAnsi="Times New Roman" w:eastAsia="仿宋_GB2312"/>
          <w:sz w:val="32"/>
          <w:szCs w:val="32"/>
        </w:rPr>
        <w:t>0.0186%</w:t>
      </w:r>
      <w:r>
        <w:rPr>
          <w:rFonts w:hint="eastAsia" w:ascii="仿宋_GB2312" w:hAnsi="GWZT-EN" w:eastAsia="仿宋_GB2312"/>
          <w:sz w:val="32"/>
          <w:szCs w:val="32"/>
        </w:rPr>
        <w:t>，违法反复现象明显减少，道路养护周期延长，执法投入减少、治理效能提升。</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altName w:val="微软雅黑"/>
    <w:panose1 w:val="02000000000000000000"/>
    <w:charset w:val="86"/>
    <w:family w:val="auto"/>
    <w:pitch w:val="default"/>
    <w:sig w:usb0="00000000" w:usb1="00000000" w:usb2="00000000" w:usb3="00000000" w:csb0="00040000" w:csb1="00000000"/>
  </w:font>
  <w:font w:name="GWZT-EN">
    <w:altName w:val="微软雅黑"/>
    <w:panose1 w:val="02020400000000000000"/>
    <w:charset w:val="86"/>
    <w:family w:val="auto"/>
    <w:pitch w:val="default"/>
    <w:sig w:usb0="00000000" w:usb1="00000000"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0F78F5"/>
    <w:rsid w:val="0A0F78F5"/>
    <w:rsid w:val="4A4C2273"/>
    <w:rsid w:val="619004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654</Words>
  <Characters>846</Characters>
  <Lines>0</Lines>
  <Paragraphs>0</Paragraphs>
  <TotalTime>0</TotalTime>
  <ScaleCrop>false</ScaleCrop>
  <LinksUpToDate>false</LinksUpToDate>
  <CharactersWithSpaces>847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2026-01-21T03:15:00Z</dcterms:created>
  <dc:creator> </dc:creator>
  <cp:lastModifiedBy> </cp:lastModifiedBy>
  <dcterms:modified xsi:type="dcterms:W3CDTF">2026-01-21T03:27:59Z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2D2A1F3C53CB413B9856ACCFE8B76BF5_13</vt:lpwstr>
  </property>
  <property fmtid="{D5CDD505-2E9C-101B-9397-08002B2CF9AE}" pid="4" name="KSOTemplateDocerSaveRecord">
    <vt:lpwstr>eyJoZGlkIjoiMGY5YzExYzdiNzdjMzk1YTc1NjUwYWI4YjU4MzgyYjEiLCJ1c2VySWQiOiIzNjg3NDIyNzAifQ==</vt:lpwstr>
  </property>
</Properties>
</file>