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390749E">
      <w:pPr>
        <w:overflowPunct w:val="0"/>
        <w:topLinePunct/>
        <w:adjustRightInd w:val="0"/>
        <w:spacing w:line="580" w:lineRule="exact"/>
        <w:rPr>
          <w:rFonts w:ascii="黑体" w:hAnsi="黑体" w:eastAsia="黑体" w:cs="方正黑体_GBK"/>
          <w:sz w:val="32"/>
          <w:szCs w:val="32"/>
        </w:rPr>
      </w:pPr>
      <w:r>
        <w:rPr>
          <w:rFonts w:hint="eastAsia" w:ascii="黑体" w:hAnsi="黑体" w:eastAsia="黑体" w:cs="方正黑体_GBK"/>
          <w:sz w:val="32"/>
          <w:szCs w:val="32"/>
        </w:rPr>
        <w:t>附件</w:t>
      </w:r>
      <w:r>
        <w:rPr>
          <w:rFonts w:ascii="Times New Roman" w:hAnsi="Times New Roman" w:eastAsia="黑体"/>
          <w:sz w:val="32"/>
          <w:szCs w:val="32"/>
        </w:rPr>
        <w:t>1</w:t>
      </w:r>
    </w:p>
    <w:p w14:paraId="4685A26F">
      <w:pPr>
        <w:overflowPunct w:val="0"/>
        <w:topLinePunct/>
        <w:adjustRightInd w:val="0"/>
        <w:snapToGrid w:val="0"/>
        <w:jc w:val="center"/>
        <w:rPr>
          <w:rFonts w:hint="eastAsia" w:ascii="方正小标宋简体" w:hAnsi="GWZT-EN" w:eastAsia="方正小标宋简体"/>
          <w:sz w:val="32"/>
          <w:szCs w:val="32"/>
        </w:rPr>
      </w:pPr>
      <w:bookmarkStart w:id="0" w:name="_GoBack"/>
      <w:r>
        <w:rPr>
          <w:rFonts w:hint="eastAsia" w:ascii="方正小标宋简体" w:hAnsi="方正小标宋_GBK" w:eastAsia="方正小标宋简体" w:cs="方正小标宋_GBK"/>
          <w:spacing w:val="-11"/>
          <w:sz w:val="44"/>
          <w:szCs w:val="44"/>
        </w:rPr>
        <w:t>试点任务完成情况</w:t>
      </w:r>
    </w:p>
    <w:bookmarkEnd w:id="0"/>
    <w:p w14:paraId="16095ED5">
      <w:pPr>
        <w:adjustRightInd w:val="0"/>
        <w:snapToGrid w:val="0"/>
        <w:jc w:val="center"/>
        <w:rPr>
          <w:rFonts w:hint="eastAsia" w:ascii="GWZT-EN" w:hAnsi="GWZT-EN" w:eastAsia="方正小标宋_GBK" w:cs="方正小标宋_GBK"/>
          <w:b/>
          <w:bCs/>
          <w:spacing w:val="-11"/>
          <w:sz w:val="44"/>
          <w:szCs w:val="32"/>
        </w:rPr>
      </w:pPr>
    </w:p>
    <w:p w14:paraId="01DA9BD6">
      <w:pPr>
        <w:overflowPunct w:val="0"/>
        <w:topLinePunct/>
        <w:spacing w:line="580" w:lineRule="exact"/>
        <w:ind w:firstLine="632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一、建设源头科技治超平台</w:t>
      </w:r>
    </w:p>
    <w:p w14:paraId="33F53431">
      <w:pPr>
        <w:overflowPunct w:val="0"/>
        <w:topLinePunct/>
        <w:spacing w:line="580" w:lineRule="exact"/>
        <w:ind w:firstLine="632" w:firstLineChars="200"/>
        <w:rPr>
          <w:rFonts w:hint="eastAsia" w:ascii="仿宋_GB2312" w:hAnsi="GWZT-EN" w:eastAsia="仿宋_GB2312"/>
          <w:sz w:val="32"/>
          <w:szCs w:val="32"/>
        </w:rPr>
      </w:pPr>
      <w:r>
        <w:rPr>
          <w:rFonts w:hint="eastAsia" w:ascii="仿宋_GB2312" w:hAnsi="GWZT-EN" w:eastAsia="仿宋_GB2312"/>
          <w:b/>
          <w:bCs/>
          <w:sz w:val="32"/>
          <w:szCs w:val="32"/>
        </w:rPr>
        <w:t>一是建设源头科技治超平台</w:t>
      </w:r>
      <w:r>
        <w:rPr>
          <w:rFonts w:hint="eastAsia" w:ascii="仿宋_GB2312" w:hAnsi="GWZT-EN" w:eastAsia="仿宋_GB2312"/>
          <w:sz w:val="32"/>
          <w:szCs w:val="32"/>
        </w:rPr>
        <w:t>。山西省交通运输厅指导阳泉市建成源头科技治超信息管理服务系统，集成数据采集、运行监测、预警处置等</w:t>
      </w:r>
      <w:r>
        <w:rPr>
          <w:rFonts w:hint="eastAsia" w:ascii="Times New Roman" w:hAnsi="Times New Roman" w:eastAsia="仿宋_GB2312"/>
          <w:sz w:val="32"/>
          <w:szCs w:val="32"/>
        </w:rPr>
        <w:t>142</w:t>
      </w:r>
      <w:r>
        <w:rPr>
          <w:rFonts w:hint="eastAsia" w:ascii="仿宋_GB2312" w:hAnsi="GWZT-EN" w:eastAsia="仿宋_GB2312"/>
          <w:sz w:val="32"/>
          <w:szCs w:val="32"/>
        </w:rPr>
        <w:t>项功能，将全市</w:t>
      </w:r>
      <w:r>
        <w:rPr>
          <w:rFonts w:hint="eastAsia" w:ascii="Times New Roman" w:hAnsi="Times New Roman" w:eastAsia="仿宋_GB2312"/>
          <w:sz w:val="32"/>
          <w:szCs w:val="32"/>
        </w:rPr>
        <w:t>283</w:t>
      </w:r>
      <w:r>
        <w:rPr>
          <w:rFonts w:hint="eastAsia" w:ascii="仿宋_GB2312" w:hAnsi="GWZT-EN" w:eastAsia="仿宋_GB2312"/>
          <w:sz w:val="32"/>
          <w:szCs w:val="32"/>
        </w:rPr>
        <w:t>户货运源头企业的称重检测与视频监控数据全面接入，同步将全市</w:t>
      </w:r>
      <w:r>
        <w:rPr>
          <w:rFonts w:hint="eastAsia" w:ascii="Times New Roman" w:hAnsi="Times New Roman" w:eastAsia="仿宋_GB2312"/>
          <w:sz w:val="32"/>
          <w:szCs w:val="32"/>
        </w:rPr>
        <w:t>14</w:t>
      </w:r>
      <w:r>
        <w:rPr>
          <w:rFonts w:hint="eastAsia" w:ascii="仿宋_GB2312" w:hAnsi="GWZT-EN" w:eastAsia="仿宋_GB2312"/>
          <w:sz w:val="32"/>
          <w:szCs w:val="32"/>
        </w:rPr>
        <w:t>个公路超限检测站、</w:t>
      </w:r>
      <w:r>
        <w:rPr>
          <w:rFonts w:hint="eastAsia" w:ascii="Times New Roman" w:hAnsi="Times New Roman" w:eastAsia="仿宋_GB2312"/>
          <w:sz w:val="32"/>
          <w:szCs w:val="32"/>
        </w:rPr>
        <w:t>16</w:t>
      </w:r>
      <w:r>
        <w:rPr>
          <w:rFonts w:hint="eastAsia" w:ascii="仿宋_GB2312" w:hAnsi="GWZT-EN" w:eastAsia="仿宋_GB2312"/>
          <w:sz w:val="32"/>
          <w:szCs w:val="32"/>
        </w:rPr>
        <w:t>个高速公路出入口及</w:t>
      </w:r>
      <w:r>
        <w:rPr>
          <w:rFonts w:hint="eastAsia" w:ascii="Times New Roman" w:hAnsi="Times New Roman" w:eastAsia="仿宋_GB2312"/>
          <w:sz w:val="32"/>
          <w:szCs w:val="32"/>
        </w:rPr>
        <w:t>5</w:t>
      </w:r>
      <w:r>
        <w:rPr>
          <w:rFonts w:hint="eastAsia" w:ascii="仿宋_GB2312" w:hAnsi="GWZT-EN" w:eastAsia="仿宋_GB2312"/>
          <w:sz w:val="32"/>
          <w:szCs w:val="32"/>
        </w:rPr>
        <w:t>个路面抓拍卡口的检测数据整合接入系统。</w:t>
      </w:r>
      <w:r>
        <w:rPr>
          <w:rFonts w:hint="eastAsia" w:ascii="Times New Roman" w:hAnsi="Times New Roman" w:eastAsia="仿宋_GB2312"/>
          <w:sz w:val="32"/>
          <w:szCs w:val="32"/>
        </w:rPr>
        <w:t>2024</w:t>
      </w:r>
      <w:r>
        <w:rPr>
          <w:rFonts w:hint="eastAsia" w:ascii="仿宋_GB2312" w:hAnsi="GWZT-EN" w:eastAsia="仿宋_GB2312"/>
          <w:sz w:val="32"/>
          <w:szCs w:val="32"/>
        </w:rPr>
        <w:t>年</w:t>
      </w:r>
      <w:r>
        <w:rPr>
          <w:rFonts w:hint="eastAsia" w:ascii="Times New Roman" w:hAnsi="Times New Roman" w:eastAsia="仿宋_GB2312"/>
          <w:sz w:val="32"/>
          <w:szCs w:val="32"/>
        </w:rPr>
        <w:t>8</w:t>
      </w:r>
      <w:r>
        <w:rPr>
          <w:rFonts w:hint="eastAsia" w:ascii="仿宋_GB2312" w:hAnsi="GWZT-EN" w:eastAsia="仿宋_GB2312"/>
          <w:sz w:val="32"/>
          <w:szCs w:val="32"/>
        </w:rPr>
        <w:t>月平台试运行以来，全市货运源头单位自有平台对接率达</w:t>
      </w:r>
      <w:r>
        <w:rPr>
          <w:rFonts w:hint="eastAsia" w:ascii="Times New Roman" w:hAnsi="Times New Roman" w:eastAsia="仿宋_GB2312"/>
          <w:sz w:val="32"/>
          <w:szCs w:val="32"/>
        </w:rPr>
        <w:t>93.56%</w:t>
      </w:r>
      <w:r>
        <w:rPr>
          <w:rFonts w:hint="eastAsia" w:ascii="仿宋_GB2312" w:hAnsi="GWZT-EN" w:eastAsia="仿宋_GB2312"/>
          <w:sz w:val="32"/>
          <w:szCs w:val="32"/>
        </w:rPr>
        <w:t>，注册登记运营货运车辆北斗信号在线率达</w:t>
      </w:r>
      <w:r>
        <w:rPr>
          <w:rFonts w:hint="eastAsia" w:ascii="Times New Roman" w:hAnsi="Times New Roman" w:eastAsia="仿宋_GB2312"/>
          <w:sz w:val="32"/>
          <w:szCs w:val="32"/>
        </w:rPr>
        <w:t>95.68%</w:t>
      </w:r>
      <w:r>
        <w:rPr>
          <w:rFonts w:hint="eastAsia" w:ascii="仿宋_GB2312" w:hAnsi="GWZT-EN" w:eastAsia="仿宋_GB2312"/>
          <w:sz w:val="32"/>
          <w:szCs w:val="32"/>
        </w:rPr>
        <w:t>，称重检测数据传输及时率达</w:t>
      </w:r>
      <w:r>
        <w:rPr>
          <w:rFonts w:hint="eastAsia" w:ascii="Times New Roman" w:hAnsi="Times New Roman" w:eastAsia="仿宋_GB2312"/>
          <w:sz w:val="32"/>
          <w:szCs w:val="32"/>
        </w:rPr>
        <w:t>95.22%</w:t>
      </w:r>
      <w:r>
        <w:rPr>
          <w:rFonts w:hint="eastAsia" w:ascii="仿宋_GB2312" w:hAnsi="GWZT-EN" w:eastAsia="仿宋_GB2312"/>
          <w:sz w:val="32"/>
          <w:szCs w:val="32"/>
        </w:rPr>
        <w:t>、完整率达</w:t>
      </w:r>
      <w:r>
        <w:rPr>
          <w:rFonts w:hint="eastAsia" w:ascii="Times New Roman" w:hAnsi="Times New Roman" w:eastAsia="仿宋_GB2312"/>
          <w:sz w:val="32"/>
          <w:szCs w:val="32"/>
        </w:rPr>
        <w:t>97.22%</w:t>
      </w:r>
      <w:r>
        <w:rPr>
          <w:rFonts w:hint="eastAsia" w:ascii="仿宋_GB2312" w:hAnsi="GWZT-EN" w:eastAsia="仿宋_GB2312"/>
          <w:sz w:val="32"/>
          <w:szCs w:val="32"/>
        </w:rPr>
        <w:t>、准确率达</w:t>
      </w:r>
      <w:r>
        <w:rPr>
          <w:rFonts w:hint="eastAsia" w:ascii="Times New Roman" w:hAnsi="Times New Roman" w:eastAsia="仿宋_GB2312"/>
          <w:sz w:val="32"/>
          <w:szCs w:val="32"/>
        </w:rPr>
        <w:t>94.57%</w:t>
      </w:r>
      <w:r>
        <w:rPr>
          <w:rFonts w:hint="eastAsia" w:ascii="仿宋_GB2312" w:hAnsi="GWZT-EN" w:eastAsia="仿宋_GB2312"/>
          <w:sz w:val="32"/>
          <w:szCs w:val="32"/>
        </w:rPr>
        <w:t>，为精准监管奠定了坚实的数据基础。推广“线上日常巡查+线下精准执法”管理模式，实现全市货运源头单位车辆超限超载率低至</w:t>
      </w:r>
      <w:r>
        <w:rPr>
          <w:rFonts w:ascii="Times New Roman" w:hAnsi="Times New Roman" w:eastAsia="仿宋_GB2312"/>
          <w:sz w:val="32"/>
          <w:szCs w:val="32"/>
        </w:rPr>
        <w:t>0.0186%</w:t>
      </w:r>
      <w:r>
        <w:rPr>
          <w:rFonts w:hint="eastAsia" w:ascii="仿宋_GB2312" w:hAnsi="GWZT-EN" w:eastAsia="仿宋_GB2312"/>
          <w:sz w:val="32"/>
          <w:szCs w:val="32"/>
        </w:rPr>
        <w:t>。</w:t>
      </w:r>
      <w:r>
        <w:rPr>
          <w:rFonts w:hint="eastAsia" w:ascii="仿宋_GB2312" w:hAnsi="GWZT-EN" w:eastAsia="仿宋_GB2312"/>
          <w:b/>
          <w:bCs/>
          <w:sz w:val="32"/>
          <w:szCs w:val="32"/>
        </w:rPr>
        <w:t>二是健全业务规范和技术标准体系</w:t>
      </w:r>
      <w:r>
        <w:rPr>
          <w:rFonts w:hint="eastAsia" w:ascii="仿宋_GB2312" w:hAnsi="GWZT-EN" w:eastAsia="仿宋_GB2312"/>
          <w:sz w:val="32"/>
          <w:szCs w:val="32"/>
        </w:rPr>
        <w:t>。山西省治超联席办组织编制《山西省源头科技治超业务规范和技术要求》，为全省治超工作提供指导。阳泉市制定《阳泉市道路货物运输源头科技治超线上巡查办法》等规章制度，为治超平台规范运营提供了明确的业务依据；发布《源头科技治超业务规范和技术要求 第</w:t>
      </w:r>
      <w:r>
        <w:rPr>
          <w:rFonts w:hint="eastAsia" w:ascii="Times New Roman" w:hAnsi="Times New Roman" w:eastAsia="仿宋_GB2312"/>
          <w:sz w:val="32"/>
          <w:szCs w:val="32"/>
        </w:rPr>
        <w:t>1</w:t>
      </w:r>
      <w:r>
        <w:rPr>
          <w:rFonts w:hint="eastAsia" w:ascii="仿宋_GB2312" w:hAnsi="GWZT-EN" w:eastAsia="仿宋_GB2312"/>
          <w:sz w:val="32"/>
          <w:szCs w:val="32"/>
        </w:rPr>
        <w:t>部分：源头单位》《源头科技治超业务规范和技术要求 第</w:t>
      </w:r>
      <w:r>
        <w:rPr>
          <w:rFonts w:ascii="Times New Roman" w:hAnsi="Times New Roman" w:eastAsia="仿宋_GB2312"/>
          <w:sz w:val="32"/>
          <w:szCs w:val="32"/>
        </w:rPr>
        <w:t>2</w:t>
      </w:r>
      <w:r>
        <w:rPr>
          <w:rFonts w:hint="eastAsia" w:ascii="仿宋_GB2312" w:hAnsi="GWZT-EN" w:eastAsia="仿宋_GB2312"/>
          <w:sz w:val="32"/>
          <w:szCs w:val="32"/>
        </w:rPr>
        <w:t>部分：监管》等地方标准，进一步细化源头科技治超工作的实施标准与监管要求。</w:t>
      </w:r>
    </w:p>
    <w:p w14:paraId="48912C4C">
      <w:pPr>
        <w:overflowPunct w:val="0"/>
        <w:topLinePunct/>
        <w:spacing w:line="580" w:lineRule="exact"/>
        <w:ind w:firstLine="632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二、建立“</w:t>
      </w:r>
      <w:r>
        <w:rPr>
          <w:rFonts w:ascii="Times New Roman" w:hAnsi="Times New Roman" w:eastAsia="黑体"/>
          <w:sz w:val="32"/>
          <w:szCs w:val="32"/>
        </w:rPr>
        <w:t>1+2+3+N</w:t>
      </w:r>
      <w:r>
        <w:rPr>
          <w:rFonts w:hint="eastAsia" w:ascii="黑体" w:hAnsi="黑体" w:eastAsia="黑体"/>
          <w:sz w:val="32"/>
          <w:szCs w:val="32"/>
        </w:rPr>
        <w:t>”源头科技治超管理体系</w:t>
      </w:r>
    </w:p>
    <w:p w14:paraId="62F48D25">
      <w:pPr>
        <w:overflowPunct w:val="0"/>
        <w:topLinePunct/>
        <w:spacing w:line="580" w:lineRule="exact"/>
        <w:ind w:firstLine="632" w:firstLineChars="200"/>
        <w:rPr>
          <w:rFonts w:hint="eastAsia" w:ascii="仿宋_GB2312" w:hAnsi="GWZT-EN" w:eastAsia="仿宋_GB2312"/>
          <w:sz w:val="32"/>
          <w:szCs w:val="32"/>
        </w:rPr>
      </w:pPr>
      <w:r>
        <w:rPr>
          <w:rFonts w:hint="eastAsia" w:ascii="仿宋_GB2312" w:hAnsi="GWZT-EN" w:eastAsia="仿宋_GB2312"/>
          <w:sz w:val="32"/>
          <w:szCs w:val="32"/>
        </w:rPr>
        <w:t>阳泉市建立“</w:t>
      </w:r>
      <w:r>
        <w:rPr>
          <w:rFonts w:hint="eastAsia" w:ascii="Times New Roman" w:hAnsi="Times New Roman" w:eastAsia="黑体"/>
          <w:sz w:val="32"/>
          <w:szCs w:val="32"/>
        </w:rPr>
        <w:t>1+2+3+N</w:t>
      </w:r>
      <w:r>
        <w:rPr>
          <w:rFonts w:hint="eastAsia" w:ascii="仿宋_GB2312" w:hAnsi="GWZT-EN" w:eastAsia="仿宋_GB2312"/>
          <w:sz w:val="32"/>
          <w:szCs w:val="32"/>
        </w:rPr>
        <w:t>”源头科技治超管理体系，着力打通治超监管堵点、理顺工作机制、提升治理效能，构建科学高效、闭环管控的源头科技治超长效机制。</w:t>
      </w:r>
      <w:r>
        <w:rPr>
          <w:rFonts w:hint="eastAsia" w:ascii="仿宋_GB2312" w:hAnsi="GWZT-EN" w:eastAsia="仿宋_GB2312"/>
          <w:b/>
          <w:bCs/>
          <w:sz w:val="32"/>
          <w:szCs w:val="32"/>
        </w:rPr>
        <w:t>一是制定“</w:t>
      </w:r>
      <w:r>
        <w:rPr>
          <w:rFonts w:hint="eastAsia" w:ascii="Times New Roman" w:hAnsi="Times New Roman" w:eastAsia="黑体"/>
          <w:b/>
          <w:bCs/>
          <w:sz w:val="32"/>
          <w:szCs w:val="32"/>
        </w:rPr>
        <w:t>1</w:t>
      </w:r>
      <w:r>
        <w:rPr>
          <w:rFonts w:hint="eastAsia" w:ascii="仿宋_GB2312" w:hAnsi="GWZT-EN" w:eastAsia="仿宋_GB2312"/>
          <w:b/>
          <w:bCs/>
          <w:sz w:val="32"/>
          <w:szCs w:val="32"/>
        </w:rPr>
        <w:t>”个核心文件</w:t>
      </w:r>
      <w:r>
        <w:rPr>
          <w:rFonts w:hint="eastAsia" w:ascii="仿宋_GB2312" w:hAnsi="GWZT-EN" w:eastAsia="仿宋_GB2312"/>
          <w:sz w:val="32"/>
          <w:szCs w:val="32"/>
        </w:rPr>
        <w:t>。阳泉市人民政府印发《阳泉市道路货物运输源头科技治超管理服务办法》，明确源头科技治超工作的总体要求和制度框架，推动源头科技治超工作。</w:t>
      </w:r>
      <w:r>
        <w:rPr>
          <w:rFonts w:hint="eastAsia" w:ascii="仿宋_GB2312" w:hAnsi="GWZT-EN" w:eastAsia="仿宋_GB2312"/>
          <w:b/>
          <w:bCs/>
          <w:sz w:val="32"/>
          <w:szCs w:val="32"/>
        </w:rPr>
        <w:t>二是建立“</w:t>
      </w:r>
      <w:r>
        <w:rPr>
          <w:rFonts w:hint="eastAsia" w:ascii="Times New Roman" w:hAnsi="Times New Roman" w:eastAsia="黑体"/>
          <w:b/>
          <w:bCs/>
          <w:sz w:val="32"/>
          <w:szCs w:val="32"/>
        </w:rPr>
        <w:t>2</w:t>
      </w:r>
      <w:r>
        <w:rPr>
          <w:rFonts w:hint="eastAsia" w:ascii="仿宋_GB2312" w:hAnsi="GWZT-EN" w:eastAsia="仿宋_GB2312"/>
          <w:b/>
          <w:bCs/>
          <w:sz w:val="32"/>
          <w:szCs w:val="32"/>
        </w:rPr>
        <w:t>”个并重机制</w:t>
      </w:r>
      <w:r>
        <w:rPr>
          <w:rFonts w:hint="eastAsia" w:ascii="仿宋_GB2312" w:hAnsi="GWZT-EN" w:eastAsia="仿宋_GB2312"/>
          <w:sz w:val="32"/>
          <w:szCs w:val="32"/>
        </w:rPr>
        <w:t>。阳泉市治超联席会议办公室发布《阳泉市道路货物运输源头科技治超管理服务平台预警研判调度指引》和《阳泉市道路货物运输源头科技治超源头单位服务清单》，构建预警调度与源头服务并重的工作机制，推动管理与服务协同发力。</w:t>
      </w:r>
      <w:r>
        <w:rPr>
          <w:rFonts w:hint="eastAsia" w:ascii="仿宋_GB2312" w:hAnsi="GWZT-EN" w:eastAsia="仿宋_GB2312"/>
          <w:b/>
          <w:bCs/>
          <w:sz w:val="32"/>
          <w:szCs w:val="32"/>
        </w:rPr>
        <w:t>三是出台“</w:t>
      </w:r>
      <w:r>
        <w:rPr>
          <w:rFonts w:hint="eastAsia" w:ascii="Times New Roman" w:hAnsi="Times New Roman" w:eastAsia="黑体"/>
          <w:b/>
          <w:bCs/>
          <w:sz w:val="32"/>
          <w:szCs w:val="32"/>
        </w:rPr>
        <w:t>3</w:t>
      </w:r>
      <w:r>
        <w:rPr>
          <w:rFonts w:hint="eastAsia" w:ascii="仿宋_GB2312" w:hAnsi="GWZT-EN" w:eastAsia="仿宋_GB2312"/>
          <w:b/>
          <w:bCs/>
          <w:sz w:val="32"/>
          <w:szCs w:val="32"/>
        </w:rPr>
        <w:t>”个重点制度</w:t>
      </w:r>
      <w:r>
        <w:rPr>
          <w:rFonts w:hint="eastAsia" w:ascii="仿宋_GB2312" w:hAnsi="GWZT-EN" w:eastAsia="仿宋_GB2312"/>
          <w:sz w:val="32"/>
          <w:szCs w:val="32"/>
        </w:rPr>
        <w:t>。印发《阳泉市道路货物运输源头科技治超线上巡查办法》《阳泉市道路货物运输源头科技治超处罚流程及移送制度（试行）》《阳泉市道路货物运输源头科技治超管理服务考核细则（试行）》，强化巡查、处罚与考核全流程管理，确保监管无死角、全覆盖。</w:t>
      </w:r>
      <w:r>
        <w:rPr>
          <w:rFonts w:hint="eastAsia" w:ascii="仿宋_GB2312" w:hAnsi="GWZT-EN" w:eastAsia="仿宋_GB2312"/>
          <w:b/>
          <w:bCs/>
          <w:sz w:val="32"/>
          <w:szCs w:val="32"/>
        </w:rPr>
        <w:t>四是完善“</w:t>
      </w:r>
      <w:r>
        <w:rPr>
          <w:rFonts w:hint="eastAsia" w:ascii="Times New Roman" w:hAnsi="Times New Roman" w:eastAsia="黑体"/>
          <w:b/>
          <w:bCs/>
          <w:sz w:val="32"/>
          <w:szCs w:val="32"/>
        </w:rPr>
        <w:t>N</w:t>
      </w:r>
      <w:r>
        <w:rPr>
          <w:rFonts w:hint="eastAsia" w:ascii="仿宋_GB2312" w:hAnsi="GWZT-EN" w:eastAsia="仿宋_GB2312"/>
          <w:b/>
          <w:bCs/>
          <w:sz w:val="32"/>
          <w:szCs w:val="32"/>
        </w:rPr>
        <w:t>”个保障制度</w:t>
      </w:r>
      <w:r>
        <w:rPr>
          <w:rFonts w:hint="eastAsia" w:ascii="仿宋_GB2312" w:hAnsi="GWZT-EN" w:eastAsia="仿宋_GB2312"/>
          <w:sz w:val="32"/>
          <w:szCs w:val="32"/>
        </w:rPr>
        <w:t>。发布《阳泉市道路货物运输源头科技治超统计分析制度（试行）》《阳泉市道路货物运输源头科技治超服务企业工作管理制度（试行）》等配套文件，为“</w:t>
      </w:r>
      <w:r>
        <w:rPr>
          <w:rFonts w:ascii="Times New Roman" w:hAnsi="Times New Roman" w:eastAsia="黑体"/>
          <w:sz w:val="32"/>
          <w:szCs w:val="32"/>
        </w:rPr>
        <w:t>1+2+3+N</w:t>
      </w:r>
      <w:r>
        <w:rPr>
          <w:rFonts w:hint="eastAsia" w:ascii="仿宋_GB2312" w:hAnsi="GWZT-EN" w:eastAsia="仿宋_GB2312"/>
          <w:sz w:val="32"/>
          <w:szCs w:val="32"/>
        </w:rPr>
        <w:t>”管理体系落地实施提供全方位、系统性支撑。</w:t>
      </w:r>
    </w:p>
    <w:p w14:paraId="2FDC412A">
      <w:pPr>
        <w:overflowPunct w:val="0"/>
        <w:topLinePunct/>
        <w:spacing w:line="580" w:lineRule="exact"/>
        <w:ind w:firstLine="632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三、推动修订法律法规工作</w:t>
      </w:r>
    </w:p>
    <w:p w14:paraId="63F7B359">
      <w:pPr>
        <w:overflowPunct w:val="0"/>
        <w:topLinePunct/>
        <w:spacing w:line="580" w:lineRule="exact"/>
        <w:ind w:firstLine="632" w:firstLineChars="200"/>
        <w:rPr>
          <w:rFonts w:hint="eastAsia" w:ascii="GWZT-EN" w:hAnsi="GWZT-EN" w:eastAsia="方正仿宋_GBK"/>
          <w:b/>
          <w:bCs/>
          <w:sz w:val="32"/>
          <w:szCs w:val="32"/>
        </w:rPr>
      </w:pPr>
      <w:r>
        <w:rPr>
          <w:rFonts w:hint="eastAsia" w:ascii="仿宋_GB2312" w:hAnsi="GWZT-EN" w:eastAsia="仿宋_GB2312"/>
          <w:b/>
          <w:bCs/>
          <w:sz w:val="32"/>
          <w:szCs w:val="32"/>
        </w:rPr>
        <w:t>一是健全治超法规体系</w:t>
      </w:r>
      <w:r>
        <w:rPr>
          <w:rFonts w:hint="eastAsia" w:ascii="仿宋_GB2312" w:hAnsi="GWZT-EN" w:eastAsia="仿宋_GB2312"/>
          <w:sz w:val="32"/>
          <w:szCs w:val="32"/>
        </w:rPr>
        <w:t>。推动修订《山西省道路运输条例》《山西省高速公路管理条例》等地方性法规，明确将高速公路出入口货车称重检测、监控视频等数据实时传输至省治超管理信息平台。制定《山西省治理道路货物运输源头超限超载办法》，明确各方责任与监管流程，为科技治超提供制度保障。</w:t>
      </w:r>
      <w:r>
        <w:rPr>
          <w:rFonts w:hint="eastAsia" w:ascii="仿宋_GB2312" w:hAnsi="GWZT-EN" w:eastAsia="仿宋_GB2312"/>
          <w:b/>
          <w:bCs/>
          <w:sz w:val="32"/>
          <w:szCs w:val="32"/>
        </w:rPr>
        <w:t>二是推行执法包容审慎监管</w:t>
      </w:r>
      <w:r>
        <w:rPr>
          <w:rFonts w:hint="eastAsia" w:ascii="仿宋_GB2312" w:hAnsi="GWZT-EN" w:eastAsia="仿宋_GB2312"/>
          <w:sz w:val="32"/>
          <w:szCs w:val="32"/>
        </w:rPr>
        <w:t>。实施《山西省交通运输厅规范行政处罚裁量权实施办法》及相关裁量基准，在全省推行轻微违法、首次违法依法不予处罚告知承诺制度，有效规范执法行为，优化交通运输营商环境。</w:t>
      </w:r>
    </w:p>
    <w:p w14:paraId="7B229722">
      <w:pPr>
        <w:overflowPunct w:val="0"/>
        <w:topLinePunct/>
        <w:adjustRightInd w:val="0"/>
        <w:rPr>
          <w:rFonts w:hint="eastAsia" w:ascii="GWZT-EN" w:hAnsi="GWZT-EN"/>
          <w:b/>
          <w:bCs/>
        </w:rPr>
        <w:sectPr>
          <w:pgSz w:w="11906" w:h="16838"/>
          <w:pgMar w:top="2098" w:right="1531" w:bottom="1984" w:left="1531" w:header="851" w:footer="958" w:gutter="0"/>
          <w:cols w:space="720" w:num="1"/>
          <w:docGrid w:type="linesAndChars" w:linePitch="579" w:charSpace="-849"/>
        </w:sectPr>
      </w:pPr>
    </w:p>
    <w:p w14:paraId="50A5CDAC"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黑体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GWZT-EN">
    <w:altName w:val="微软雅黑"/>
    <w:panose1 w:val="02020400000000000000"/>
    <w:charset w:val="86"/>
    <w:family w:val="auto"/>
    <w:pitch w:val="default"/>
    <w:sig w:usb0="00000000" w:usb1="00000000" w:usb2="00082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方正书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A0F78F5"/>
    <w:rsid w:val="0A0F78F5"/>
    <w:rsid w:val="619004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654</Words>
  <Characters>846</Characters>
  <Lines>0</Lines>
  <Paragraphs>0</Paragraphs>
  <TotalTime>0</TotalTime>
  <ScaleCrop>false</ScaleCrop>
  <LinksUpToDate>false</LinksUpToDate>
  <CharactersWithSpaces>847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2026-01-21T03:15:00Z</dcterms:created>
  <dc:creator> </dc:creator>
  <cp:lastModifiedBy> </cp:lastModifiedBy>
  <dcterms:modified xsi:type="dcterms:W3CDTF">2026-01-21T03:27:27Z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A797FE0F132D4B2ABBB27B280989A020_13</vt:lpwstr>
  </property>
  <property fmtid="{D5CDD505-2E9C-101B-9397-08002B2CF9AE}" pid="4" name="KSOTemplateDocerSaveRecord">
    <vt:lpwstr>eyJoZGlkIjoiMGY5YzExYzdiNzdjMzk1YTc1NjUwYWI4YjU4MzgyYjEiLCJ1c2VySWQiOiIzNjg3NDIyNzAifQ==</vt:lpwstr>
  </property>
</Properties>
</file>