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D2419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附件2 </w:t>
      </w:r>
    </w:p>
    <w:p w14:paraId="06410C1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消费新业态新模式新场景试点绩效目标表</w:t>
      </w:r>
    </w:p>
    <w:p w14:paraId="0CAB9D6B"/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1740"/>
        <w:gridCol w:w="3870"/>
        <w:gridCol w:w="6405"/>
        <w:gridCol w:w="1445"/>
      </w:tblGrid>
      <w:tr w14:paraId="5B3EB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251" w:type="pct"/>
            <w:noWrap w:val="0"/>
            <w:vAlign w:val="center"/>
          </w:tcPr>
          <w:p w14:paraId="4F18A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13" w:type="pct"/>
            <w:noWrap w:val="0"/>
            <w:vAlign w:val="center"/>
          </w:tcPr>
          <w:p w14:paraId="41B05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指标类别</w:t>
            </w:r>
          </w:p>
        </w:tc>
        <w:tc>
          <w:tcPr>
            <w:tcW w:w="1365" w:type="pct"/>
            <w:noWrap w:val="0"/>
            <w:vAlign w:val="center"/>
          </w:tcPr>
          <w:p w14:paraId="769CB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具体指标</w:t>
            </w:r>
          </w:p>
        </w:tc>
        <w:tc>
          <w:tcPr>
            <w:tcW w:w="2259" w:type="pct"/>
            <w:noWrap w:val="0"/>
            <w:vAlign w:val="center"/>
          </w:tcPr>
          <w:p w14:paraId="60624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指标解释</w:t>
            </w:r>
          </w:p>
        </w:tc>
        <w:tc>
          <w:tcPr>
            <w:tcW w:w="509" w:type="pct"/>
            <w:noWrap w:val="0"/>
            <w:vAlign w:val="center"/>
          </w:tcPr>
          <w:p w14:paraId="28CCB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总体目标</w:t>
            </w:r>
          </w:p>
        </w:tc>
      </w:tr>
      <w:tr w14:paraId="31E39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8" w:hRule="atLeast"/>
        </w:trPr>
        <w:tc>
          <w:tcPr>
            <w:tcW w:w="251" w:type="pct"/>
            <w:noWrap/>
            <w:vAlign w:val="center"/>
          </w:tcPr>
          <w:p w14:paraId="532AD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13" w:type="pct"/>
            <w:vMerge w:val="restart"/>
            <w:noWrap w:val="0"/>
            <w:vAlign w:val="center"/>
          </w:tcPr>
          <w:p w14:paraId="7A4EEFD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消费新业态新模式新场景总体情况</w:t>
            </w:r>
          </w:p>
        </w:tc>
        <w:tc>
          <w:tcPr>
            <w:tcW w:w="1365" w:type="pct"/>
            <w:noWrap w:val="0"/>
            <w:vAlign w:val="center"/>
          </w:tcPr>
          <w:p w14:paraId="2ACA48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培育形成有利于</w:t>
            </w:r>
            <w:r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消费新业态新模式新场景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发展</w:t>
            </w:r>
            <w:r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的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营商环境</w:t>
            </w:r>
          </w:p>
        </w:tc>
        <w:tc>
          <w:tcPr>
            <w:tcW w:w="2259" w:type="pct"/>
            <w:noWrap w:val="0"/>
            <w:vAlign w:val="center"/>
          </w:tcPr>
          <w:p w14:paraId="6983519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建立促进</w:t>
            </w:r>
            <w:r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消费新业态新模式新场景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发展的工作机制，推动破解制约消费供给创新的问题困难，构建支持消费业态模式场景创新的政策体系。</w:t>
            </w:r>
          </w:p>
        </w:tc>
        <w:tc>
          <w:tcPr>
            <w:tcW w:w="509" w:type="pct"/>
            <w:noWrap/>
            <w:vAlign w:val="center"/>
          </w:tcPr>
          <w:p w14:paraId="451FEB58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70F6A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251" w:type="pct"/>
            <w:noWrap/>
            <w:vAlign w:val="center"/>
          </w:tcPr>
          <w:p w14:paraId="44B5D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62211DB3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54C198C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消费供给质量有效提升</w:t>
            </w:r>
          </w:p>
        </w:tc>
        <w:tc>
          <w:tcPr>
            <w:tcW w:w="2259" w:type="pct"/>
            <w:noWrap w:val="0"/>
            <w:vAlign w:val="center"/>
          </w:tcPr>
          <w:p w14:paraId="4A3EA7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消费业态模式场景明显丰富，供给多样化水平有效提升，创新性消费供给持续涌现，有效激发消费活力。</w:t>
            </w:r>
          </w:p>
        </w:tc>
        <w:tc>
          <w:tcPr>
            <w:tcW w:w="509" w:type="pct"/>
            <w:noWrap/>
            <w:vAlign w:val="center"/>
          </w:tcPr>
          <w:p w14:paraId="5256BDCB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57554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1" w:type="pct"/>
            <w:noWrap/>
            <w:vAlign w:val="center"/>
          </w:tcPr>
          <w:p w14:paraId="71CE8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022AE6DE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5C5DB9E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消费规模进一步扩大</w:t>
            </w:r>
          </w:p>
        </w:tc>
        <w:tc>
          <w:tcPr>
            <w:tcW w:w="2259" w:type="pct"/>
            <w:noWrap w:val="0"/>
            <w:vAlign w:val="center"/>
          </w:tcPr>
          <w:p w14:paraId="5A0122D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城市社会消费品零售总额、居民人均服务性消费支出等进一步增长，消费对经济发展的带动作用进一步增强。</w:t>
            </w:r>
          </w:p>
        </w:tc>
        <w:tc>
          <w:tcPr>
            <w:tcW w:w="509" w:type="pct"/>
            <w:noWrap/>
            <w:vAlign w:val="center"/>
          </w:tcPr>
          <w:p w14:paraId="7CDD54FA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E573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1" w:type="pct"/>
            <w:noWrap/>
            <w:vAlign w:val="center"/>
          </w:tcPr>
          <w:p w14:paraId="31102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5F38D4BF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64AD04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带动总体投资额（亿元）</w:t>
            </w:r>
          </w:p>
        </w:tc>
        <w:tc>
          <w:tcPr>
            <w:tcW w:w="2259" w:type="pct"/>
            <w:noWrap w:val="0"/>
            <w:vAlign w:val="center"/>
          </w:tcPr>
          <w:p w14:paraId="6498469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消费新业态新模式新场景试点政策支持的所有项目合计投资金额。</w:t>
            </w:r>
          </w:p>
        </w:tc>
        <w:tc>
          <w:tcPr>
            <w:tcW w:w="509" w:type="pct"/>
            <w:noWrap/>
            <w:vAlign w:val="center"/>
          </w:tcPr>
          <w:p w14:paraId="38D23DF2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5DF27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</w:trPr>
        <w:tc>
          <w:tcPr>
            <w:tcW w:w="251" w:type="pct"/>
            <w:noWrap/>
            <w:vAlign w:val="center"/>
          </w:tcPr>
          <w:p w14:paraId="3DD27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13" w:type="pct"/>
            <w:vMerge w:val="restart"/>
            <w:noWrap w:val="0"/>
            <w:vAlign w:val="center"/>
          </w:tcPr>
          <w:p w14:paraId="41F942F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健全首发经济服务体系</w:t>
            </w:r>
          </w:p>
        </w:tc>
        <w:tc>
          <w:tcPr>
            <w:tcW w:w="1365" w:type="pct"/>
            <w:noWrap w:val="0"/>
            <w:vAlign w:val="center"/>
          </w:tcPr>
          <w:p w14:paraId="29332D7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建设首发中心、首发经济集聚区数量（个）</w:t>
            </w:r>
          </w:p>
        </w:tc>
        <w:tc>
          <w:tcPr>
            <w:tcW w:w="2259" w:type="pct"/>
            <w:noWrap w:val="0"/>
            <w:vAlign w:val="center"/>
          </w:tcPr>
          <w:p w14:paraId="60FBD5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支持建设完成的首发中心、首发经济集聚区数量。</w:t>
            </w:r>
          </w:p>
        </w:tc>
        <w:tc>
          <w:tcPr>
            <w:tcW w:w="509" w:type="pct"/>
            <w:noWrap/>
            <w:vAlign w:val="center"/>
          </w:tcPr>
          <w:p w14:paraId="4BD5C941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B6CB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atLeast"/>
        </w:trPr>
        <w:tc>
          <w:tcPr>
            <w:tcW w:w="251" w:type="pct"/>
            <w:noWrap/>
            <w:vAlign w:val="center"/>
          </w:tcPr>
          <w:p w14:paraId="6AD17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306CEEE8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7009E8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支持具有引领性的国内外品牌开设首店数量（个）</w:t>
            </w:r>
          </w:p>
        </w:tc>
        <w:tc>
          <w:tcPr>
            <w:tcW w:w="2259" w:type="pct"/>
            <w:noWrap w:val="0"/>
            <w:vAlign w:val="center"/>
          </w:tcPr>
          <w:p w14:paraId="298727F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新投入营业的具有引领性的国内外品牌开设高能级首店、旗舰店、概念店数量。</w:t>
            </w:r>
          </w:p>
        </w:tc>
        <w:tc>
          <w:tcPr>
            <w:tcW w:w="509" w:type="pct"/>
            <w:noWrap/>
            <w:vAlign w:val="center"/>
          </w:tcPr>
          <w:p w14:paraId="60D4904E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3D4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51" w:type="pct"/>
            <w:noWrap/>
            <w:vAlign w:val="center"/>
          </w:tcPr>
          <w:p w14:paraId="3AFA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6F82D5C2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57E0489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支持举办首发、首秀、首展活动数量（个）</w:t>
            </w:r>
          </w:p>
        </w:tc>
        <w:tc>
          <w:tcPr>
            <w:tcW w:w="2259" w:type="pct"/>
            <w:noWrap w:val="0"/>
            <w:vAlign w:val="center"/>
          </w:tcPr>
          <w:p w14:paraId="2F656E0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举办相关活动数量。</w:t>
            </w:r>
          </w:p>
        </w:tc>
        <w:tc>
          <w:tcPr>
            <w:tcW w:w="509" w:type="pct"/>
            <w:noWrap/>
            <w:vAlign w:val="center"/>
          </w:tcPr>
          <w:p w14:paraId="75328F85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DBA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251" w:type="pct"/>
            <w:noWrap/>
            <w:vAlign w:val="center"/>
          </w:tcPr>
          <w:p w14:paraId="411F7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1CE43D59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401AFE6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支持开设首发专区、专场的展会活动数量（个）</w:t>
            </w:r>
          </w:p>
        </w:tc>
        <w:tc>
          <w:tcPr>
            <w:tcW w:w="2259" w:type="pct"/>
            <w:noWrap w:val="0"/>
            <w:vAlign w:val="center"/>
          </w:tcPr>
          <w:p w14:paraId="4CFF97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开设首发专区、专场的展会数量。</w:t>
            </w:r>
          </w:p>
        </w:tc>
        <w:tc>
          <w:tcPr>
            <w:tcW w:w="509" w:type="pct"/>
            <w:noWrap/>
            <w:vAlign w:val="center"/>
          </w:tcPr>
          <w:p w14:paraId="4C94A2E5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5334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</w:trPr>
        <w:tc>
          <w:tcPr>
            <w:tcW w:w="251" w:type="pct"/>
            <w:noWrap/>
            <w:vAlign w:val="center"/>
          </w:tcPr>
          <w:p w14:paraId="27D85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613" w:type="pct"/>
            <w:vMerge w:val="restart"/>
            <w:noWrap w:val="0"/>
            <w:vAlign w:val="center"/>
          </w:tcPr>
          <w:p w14:paraId="1655940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创新多元化服务消费场景</w:t>
            </w:r>
          </w:p>
        </w:tc>
        <w:tc>
          <w:tcPr>
            <w:tcW w:w="1365" w:type="pct"/>
            <w:noWrap w:val="0"/>
            <w:vAlign w:val="center"/>
          </w:tcPr>
          <w:p w14:paraId="6EAE582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商旅文体健融合场景数量（个）</w:t>
            </w:r>
          </w:p>
        </w:tc>
        <w:tc>
          <w:tcPr>
            <w:tcW w:w="2259" w:type="pct"/>
            <w:noWrap w:val="0"/>
            <w:vAlign w:val="center"/>
          </w:tcPr>
          <w:p w14:paraId="081708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新投用的商旅文体健融合场景项目数量。</w:t>
            </w:r>
          </w:p>
        </w:tc>
        <w:tc>
          <w:tcPr>
            <w:tcW w:w="509" w:type="pct"/>
            <w:noWrap/>
            <w:vAlign w:val="center"/>
          </w:tcPr>
          <w:p w14:paraId="359C98CD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2BB96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0" w:hRule="atLeast"/>
        </w:trPr>
        <w:tc>
          <w:tcPr>
            <w:tcW w:w="251" w:type="pct"/>
            <w:noWrap/>
            <w:vAlign w:val="center"/>
          </w:tcPr>
          <w:p w14:paraId="51ADE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5C641A44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7198BF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服务消费集聚区建设数量（个）</w:t>
            </w:r>
          </w:p>
        </w:tc>
        <w:tc>
          <w:tcPr>
            <w:tcW w:w="2259" w:type="pct"/>
            <w:noWrap w:val="0"/>
            <w:vAlign w:val="center"/>
          </w:tcPr>
          <w:p w14:paraId="0F1D986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支持重点商圈、特色商业街区、文旅集聚区、会展场馆、传统购物型商超、废旧工业厂区向多元消费场景升级、扩展服务消费功能的项目数量，包含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银发金街、童趣乐园、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夜间文化和旅游消费集聚区数量。</w:t>
            </w:r>
          </w:p>
        </w:tc>
        <w:tc>
          <w:tcPr>
            <w:tcW w:w="509" w:type="pct"/>
            <w:noWrap/>
            <w:vAlign w:val="center"/>
          </w:tcPr>
          <w:p w14:paraId="7D553A31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726B83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251" w:type="pct"/>
            <w:noWrap/>
            <w:vAlign w:val="center"/>
          </w:tcPr>
          <w:p w14:paraId="20C4F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409565FF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35C37B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重点</w:t>
            </w:r>
            <w:r>
              <w:rPr>
                <w:rStyle w:val="5"/>
                <w:rFonts w:hint="eastAsia" w:ascii="仿宋_GB2312" w:hAnsi="仿宋_GB2312" w:eastAsia="仿宋_GB2312" w:cs="仿宋_GB2312"/>
                <w:sz w:val="24"/>
                <w:szCs w:val="24"/>
                <w:lang w:val="en-US" w:eastAsia="zh-CN" w:bidi="ar"/>
              </w:rPr>
              <w:t>赛事活动及演出“进商圈、进街区、进景区”活动数量（场次）</w:t>
            </w:r>
          </w:p>
        </w:tc>
        <w:tc>
          <w:tcPr>
            <w:tcW w:w="2259" w:type="pct"/>
            <w:noWrap w:val="0"/>
            <w:vAlign w:val="center"/>
          </w:tcPr>
          <w:p w14:paraId="309FC81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在商圈、街区、景区开展体育赛事活动和演出的场次数量，系列赛或系列演出的不同场次可分别计算场次。</w:t>
            </w:r>
          </w:p>
        </w:tc>
        <w:tc>
          <w:tcPr>
            <w:tcW w:w="509" w:type="pct"/>
            <w:noWrap/>
            <w:vAlign w:val="center"/>
          </w:tcPr>
          <w:p w14:paraId="1ABC6763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F4AC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251" w:type="pct"/>
            <w:noWrap/>
            <w:vAlign w:val="center"/>
          </w:tcPr>
          <w:p w14:paraId="6BE3A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1D753446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4C6042B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支持新业态新模式数量（个）</w:t>
            </w:r>
          </w:p>
        </w:tc>
        <w:tc>
          <w:tcPr>
            <w:tcW w:w="2259" w:type="pct"/>
            <w:noWrap/>
            <w:vAlign w:val="center"/>
          </w:tcPr>
          <w:p w14:paraId="41D4529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培育汽车后市场服务、旅居服务、演出服务、冰雪经济、体育赛事、旅游列车等服务消费新增长点，发展艺术展览、沉浸体验、数字艺术、房车露营等消费场景，以及促进家政等领域新业态新模式发展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的项目数量。</w:t>
            </w:r>
          </w:p>
        </w:tc>
        <w:tc>
          <w:tcPr>
            <w:tcW w:w="509" w:type="pct"/>
            <w:noWrap/>
            <w:vAlign w:val="center"/>
          </w:tcPr>
          <w:p w14:paraId="78EE5D0D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2CB5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5" w:hRule="atLeast"/>
        </w:trPr>
        <w:tc>
          <w:tcPr>
            <w:tcW w:w="251" w:type="pct"/>
            <w:noWrap/>
            <w:vAlign w:val="center"/>
          </w:tcPr>
          <w:p w14:paraId="6AE67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5F86BB01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1882270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完善外贸优品消费场景建设数量（个）</w:t>
            </w:r>
          </w:p>
        </w:tc>
        <w:tc>
          <w:tcPr>
            <w:tcW w:w="2259" w:type="pct"/>
            <w:noWrap/>
            <w:vAlign w:val="center"/>
          </w:tcPr>
          <w:p w14:paraId="50BA15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支持外贸优品展销中心、特色购物中心、外贸优品品牌集聚的特色商业街区等特色消费场景项目数量。</w:t>
            </w:r>
          </w:p>
        </w:tc>
        <w:tc>
          <w:tcPr>
            <w:tcW w:w="509" w:type="pct"/>
            <w:noWrap/>
            <w:vAlign w:val="center"/>
          </w:tcPr>
          <w:p w14:paraId="6BE30679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71D1D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3" w:hRule="atLeast"/>
        </w:trPr>
        <w:tc>
          <w:tcPr>
            <w:tcW w:w="251" w:type="pct"/>
            <w:noWrap/>
            <w:vAlign w:val="center"/>
          </w:tcPr>
          <w:p w14:paraId="75758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13" w:type="pct"/>
            <w:vMerge w:val="restart"/>
            <w:noWrap w:val="0"/>
            <w:vAlign w:val="center"/>
          </w:tcPr>
          <w:p w14:paraId="2B386E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优质消费资源与知名IP跨界联名</w:t>
            </w:r>
          </w:p>
        </w:tc>
        <w:tc>
          <w:tcPr>
            <w:tcW w:w="1365" w:type="pct"/>
            <w:noWrap w:val="0"/>
            <w:vAlign w:val="center"/>
          </w:tcPr>
          <w:p w14:paraId="3E40466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strike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strike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培育和转化IP数量（个）</w:t>
            </w:r>
          </w:p>
        </w:tc>
        <w:tc>
          <w:tcPr>
            <w:tcW w:w="2259" w:type="pct"/>
            <w:noWrap w:val="0"/>
            <w:vAlign w:val="center"/>
          </w:tcPr>
          <w:p w14:paraId="6C01BD2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依托IP设计、孵化平台自主培育并进行商业转化的IP数量。</w:t>
            </w:r>
          </w:p>
        </w:tc>
        <w:tc>
          <w:tcPr>
            <w:tcW w:w="509" w:type="pct"/>
            <w:noWrap/>
            <w:vAlign w:val="center"/>
          </w:tcPr>
          <w:p w14:paraId="3D33352A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5D4E5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</w:trPr>
        <w:tc>
          <w:tcPr>
            <w:tcW w:w="251" w:type="pct"/>
            <w:noWrap/>
            <w:vAlign w:val="center"/>
          </w:tcPr>
          <w:p w14:paraId="6860B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21A872C6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24E9454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开设IP主题店、概念店、联名店数量（个）</w:t>
            </w:r>
          </w:p>
        </w:tc>
        <w:tc>
          <w:tcPr>
            <w:tcW w:w="2259" w:type="pct"/>
            <w:noWrap w:val="0"/>
            <w:vAlign w:val="center"/>
          </w:tcPr>
          <w:p w14:paraId="6E6DA8B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支持IP品牌企业开设线下主题店、概念店，或与老字号、新消费品牌等优质消费资源开设跨界联名店数量。</w:t>
            </w:r>
          </w:p>
        </w:tc>
        <w:tc>
          <w:tcPr>
            <w:tcW w:w="509" w:type="pct"/>
            <w:noWrap/>
            <w:vAlign w:val="center"/>
          </w:tcPr>
          <w:p w14:paraId="7854B1FA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77CA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5" w:hRule="atLeast"/>
        </w:trPr>
        <w:tc>
          <w:tcPr>
            <w:tcW w:w="251" w:type="pct"/>
            <w:noWrap/>
            <w:vAlign w:val="center"/>
          </w:tcPr>
          <w:p w14:paraId="2FC6C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16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7DF99C5D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3AC8A4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培育“IP+”新消费场景数量（个）</w:t>
            </w:r>
          </w:p>
        </w:tc>
        <w:tc>
          <w:tcPr>
            <w:tcW w:w="2259" w:type="pct"/>
            <w:noWrap w:val="0"/>
            <w:vAlign w:val="center"/>
          </w:tcPr>
          <w:p w14:paraId="2FE0C6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围绕本地特色文化，联动国潮动漫影视IP及文博场馆、非遗机构、历史文化名城等传统资源，推出的综合性消费性场景数量、游购路线数量。</w:t>
            </w:r>
          </w:p>
        </w:tc>
        <w:tc>
          <w:tcPr>
            <w:tcW w:w="509" w:type="pct"/>
            <w:noWrap/>
            <w:vAlign w:val="center"/>
          </w:tcPr>
          <w:p w14:paraId="0D1B9FFB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63A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</w:trPr>
        <w:tc>
          <w:tcPr>
            <w:tcW w:w="251" w:type="pct"/>
            <w:noWrap/>
            <w:vAlign w:val="center"/>
          </w:tcPr>
          <w:p w14:paraId="21C3D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17</w:t>
            </w:r>
          </w:p>
        </w:tc>
        <w:tc>
          <w:tcPr>
            <w:tcW w:w="613" w:type="pct"/>
            <w:vMerge w:val="continue"/>
            <w:noWrap w:val="0"/>
            <w:vAlign w:val="center"/>
          </w:tcPr>
          <w:p w14:paraId="37405AC4"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pct"/>
            <w:noWrap w:val="0"/>
            <w:vAlign w:val="center"/>
          </w:tcPr>
          <w:p w14:paraId="50C975B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“人工智能+消费”集聚区建设数量（个）</w:t>
            </w:r>
          </w:p>
        </w:tc>
        <w:tc>
          <w:tcPr>
            <w:tcW w:w="2259" w:type="pct"/>
            <w:noWrap w:val="0"/>
            <w:vAlign w:val="center"/>
          </w:tcPr>
          <w:p w14:paraId="159B63A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集聚优质资源打造人工智能消费集聚区，建设人工智能体验中心、展销中心等数量。</w:t>
            </w:r>
          </w:p>
        </w:tc>
        <w:tc>
          <w:tcPr>
            <w:tcW w:w="509" w:type="pct"/>
            <w:noWrap/>
            <w:vAlign w:val="center"/>
          </w:tcPr>
          <w:p w14:paraId="48AAC1C3"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6B2CC879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4BBA79FB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>备注：1.序号1-4为必填项，其余指标绩效结合地方试点内容填报。凡建设项目清单中项目涉及的支持方向，均应填写相应的绩效指</w:t>
      </w:r>
    </w:p>
    <w:p w14:paraId="74EE09C7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 xml:space="preserve">        标。</w:t>
      </w:r>
    </w:p>
    <w:p w14:paraId="00E8D99A"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 xml:space="preserve">      2.本表仅作为编制实施方案提纲的参考。</w:t>
      </w:r>
    </w:p>
    <w:p w14:paraId="593B0A95"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C6CA2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90539E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290539E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9A6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font11"/>
    <w:basedOn w:val="4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2025-10-01T12:49:37Z</dcterms:created>
  <dc:creator>Administrator</dc:creator>
  <cp:lastModifiedBy>GIT-大Ju</cp:lastModifiedBy>
  <dcterms:modified xsi:type="dcterms:W3CDTF">2025-10-01T12:49:41Z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eyJoZGlkIjoiMjIyOGJhYmFkYTQ4NzlkZDJjMzhlYjFhZmRiNDFjYmEiLCJ1c2VySWQiOiIzODgyNzIyMDEifQ==</vt:lpwstr>
  </property>
  <property fmtid="{D5CDD505-2E9C-101B-9397-08002B2CF9AE}" pid="4" name="ICV">
    <vt:lpwstr>DFBF24E8DE594F72A3FD3B540326AD7F_12</vt:lpwstr>
  </property>
</Properties>
</file>