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311A4">
      <w:pPr>
        <w:pStyle w:val="9"/>
        <w:keepNext w:val="0"/>
        <w:keepLines w:val="0"/>
        <w:pageBreakBefore w:val="0"/>
        <w:widowControl w:val="0"/>
        <w:kinsoku/>
        <w:wordWrap/>
        <w:overflowPunct/>
        <w:topLinePunct w:val="0"/>
        <w:autoSpaceDE/>
        <w:autoSpaceDN/>
        <w:bidi w:val="0"/>
        <w:adjustRightInd w:val="0"/>
        <w:snapToGrid/>
        <w:spacing w:before="0" w:beforeLines="0" w:after="0" w:afterLines="0" w:line="240" w:lineRule="auto"/>
        <w:jc w:val="both"/>
        <w:textAlignment w:val="auto"/>
        <w:rPr>
          <w:rFonts w:hint="eastAsia" w:ascii="Times New Roman" w:hAnsi="Times New Roman" w:eastAsia="黑体" w:cs="黑体"/>
          <w:sz w:val="32"/>
          <w:szCs w:val="22"/>
          <w:lang w:val="en-US" w:eastAsia="zh-CN"/>
        </w:rPr>
      </w:pPr>
      <w:r>
        <w:rPr>
          <w:rFonts w:hint="eastAsia" w:ascii="Times New Roman" w:hAnsi="Times New Roman" w:eastAsia="黑体" w:cs="黑体"/>
          <w:sz w:val="32"/>
          <w:szCs w:val="22"/>
          <w:lang w:eastAsia="zh-CN"/>
        </w:rPr>
        <w:t>附件</w:t>
      </w:r>
      <w:r>
        <w:rPr>
          <w:rFonts w:hint="eastAsia" w:ascii="Times New Roman" w:hAnsi="Times New Roman" w:eastAsia="黑体" w:cs="黑体"/>
          <w:sz w:val="32"/>
          <w:szCs w:val="22"/>
          <w:lang w:val="en-US" w:eastAsia="zh-CN"/>
        </w:rPr>
        <w:t>1</w:t>
      </w:r>
    </w:p>
    <w:p w14:paraId="7EDDE607">
      <w:pPr>
        <w:pStyle w:val="9"/>
        <w:keepNext w:val="0"/>
        <w:keepLines w:val="0"/>
        <w:pageBreakBefore w:val="0"/>
        <w:widowControl w:val="0"/>
        <w:kinsoku/>
        <w:wordWrap/>
        <w:overflowPunct/>
        <w:topLinePunct w:val="0"/>
        <w:autoSpaceDE/>
        <w:autoSpaceDN/>
        <w:bidi w:val="0"/>
        <w:adjustRightInd w:val="0"/>
        <w:snapToGrid/>
        <w:spacing w:before="0" w:beforeLines="0" w:after="0" w:afterLines="0" w:line="240" w:lineRule="auto"/>
        <w:jc w:val="both"/>
        <w:textAlignment w:val="auto"/>
        <w:rPr>
          <w:rFonts w:hint="eastAsia" w:ascii="Times New Roman" w:hAnsi="Times New Roman" w:eastAsia="黑体" w:cs="黑体"/>
          <w:sz w:val="32"/>
          <w:szCs w:val="22"/>
          <w:lang w:val="en-US" w:eastAsia="zh-CN"/>
        </w:rPr>
      </w:pPr>
    </w:p>
    <w:p w14:paraId="5B8DBEBC">
      <w:pPr>
        <w:pStyle w:val="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textAlignment w:val="auto"/>
        <w:rPr>
          <w:rFonts w:hint="eastAsia" w:ascii="Times New Roman" w:hAnsi="Times New Roman"/>
          <w:sz w:val="44"/>
          <w:szCs w:val="32"/>
          <w:lang w:eastAsia="zh-CN"/>
        </w:rPr>
      </w:pPr>
      <w:r>
        <w:rPr>
          <w:rFonts w:hint="eastAsia" w:ascii="Times New Roman" w:hAnsi="Times New Roman"/>
          <w:sz w:val="44"/>
          <w:szCs w:val="32"/>
          <w:lang w:eastAsia="zh-CN"/>
        </w:rPr>
        <w:t>消费新业态新模式新场景试点</w:t>
      </w:r>
    </w:p>
    <w:p w14:paraId="148BB943">
      <w:pPr>
        <w:pStyle w:val="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textAlignment w:val="auto"/>
        <w:rPr>
          <w:rFonts w:hint="eastAsia" w:ascii="Times New Roman" w:hAnsi="Times New Roman"/>
          <w:sz w:val="44"/>
          <w:szCs w:val="32"/>
          <w:lang w:eastAsia="zh-CN"/>
        </w:rPr>
      </w:pPr>
      <w:r>
        <w:rPr>
          <w:rFonts w:hint="eastAsia" w:ascii="Times New Roman" w:hAnsi="Times New Roman"/>
          <w:sz w:val="44"/>
          <w:szCs w:val="32"/>
          <w:lang w:eastAsia="zh-CN"/>
        </w:rPr>
        <w:t>实施方案编制提纲</w:t>
      </w:r>
    </w:p>
    <w:p w14:paraId="27B8334D">
      <w:pPr>
        <w:bidi w:val="0"/>
        <w:snapToGrid/>
        <w:spacing w:beforeLines="0" w:afterLines="0" w:line="240" w:lineRule="auto"/>
        <w:ind w:left="0" w:leftChars="0" w:firstLine="0" w:firstLineChars="0"/>
        <w:jc w:val="center"/>
        <w:rPr>
          <w:rStyle w:val="10"/>
          <w:rFonts w:hint="eastAsia" w:ascii="Times New Roman" w:hAnsi="Times New Roman"/>
          <w:b w:val="0"/>
          <w:bCs/>
          <w:lang w:eastAsia="zh-CN"/>
        </w:rPr>
      </w:pPr>
      <w:r>
        <w:rPr>
          <w:rStyle w:val="10"/>
          <w:rFonts w:hint="eastAsia" w:ascii="Times New Roman" w:hAnsi="Times New Roman"/>
          <w:b w:val="0"/>
          <w:bCs/>
          <w:lang w:eastAsia="zh-CN"/>
        </w:rPr>
        <w:t>（供申报城市参考使用）</w:t>
      </w:r>
    </w:p>
    <w:p w14:paraId="2A79D3A7">
      <w:pPr>
        <w:pStyle w:val="2"/>
        <w:rPr>
          <w:rFonts w:hint="eastAsia"/>
          <w:lang w:eastAsia="zh-CN"/>
        </w:rPr>
      </w:pPr>
    </w:p>
    <w:p w14:paraId="13105C03">
      <w:pPr>
        <w:pStyle w:val="3"/>
        <w:numPr>
          <w:ilvl w:val="0"/>
          <w:numId w:val="1"/>
        </w:numPr>
        <w:bidi w:val="0"/>
        <w:snapToGrid/>
        <w:spacing w:line="240" w:lineRule="auto"/>
        <w:rPr>
          <w:rFonts w:hint="eastAsia" w:ascii="Times New Roman" w:hAnsi="Times New Roman"/>
          <w:lang w:eastAsia="zh-CN"/>
        </w:rPr>
      </w:pPr>
      <w:r>
        <w:rPr>
          <w:rFonts w:hint="eastAsia" w:ascii="Times New Roman" w:hAnsi="Times New Roman"/>
          <w:lang w:eastAsia="zh-CN"/>
        </w:rPr>
        <w:t>基本情况</w:t>
      </w:r>
    </w:p>
    <w:p w14:paraId="68C5D75E">
      <w:pPr>
        <w:pStyle w:val="2"/>
        <w:rPr>
          <w:rFonts w:hint="default" w:ascii="Times New Roman" w:hAnsi="Times New Roman"/>
          <w:lang w:val="en-US" w:eastAsia="zh-CN"/>
        </w:rPr>
      </w:pPr>
      <w:r>
        <w:rPr>
          <w:rFonts w:hint="eastAsia" w:ascii="Times New Roman" w:hAnsi="Times New Roman"/>
          <w:lang w:eastAsia="zh-CN"/>
        </w:rPr>
        <w:t>（一）</w:t>
      </w:r>
      <w:r>
        <w:rPr>
          <w:rStyle w:val="10"/>
          <w:rFonts w:hint="eastAsia" w:ascii="Times New Roman" w:hAnsi="Times New Roman"/>
          <w:b/>
          <w:lang w:eastAsia="zh-CN"/>
        </w:rPr>
        <w:t>城市</w:t>
      </w:r>
      <w:r>
        <w:rPr>
          <w:rStyle w:val="10"/>
          <w:rFonts w:hint="eastAsia" w:ascii="宋体" w:hAnsi="宋体" w:cs="宋体"/>
          <w:b/>
          <w:lang w:eastAsia="zh-CN"/>
        </w:rPr>
        <w:t>基本情况</w:t>
      </w:r>
      <w:r>
        <w:rPr>
          <w:rStyle w:val="10"/>
          <w:rFonts w:hint="eastAsia" w:ascii="Times New Roman" w:hAnsi="Times New Roman"/>
          <w:b/>
          <w:lang w:eastAsia="zh-CN"/>
        </w:rPr>
        <w:t>。</w:t>
      </w:r>
      <w:r>
        <w:rPr>
          <w:rFonts w:hint="eastAsia" w:ascii="仿宋_GB2312" w:hAnsi="仿宋_GB2312" w:eastAsia="仿宋_GB2312" w:cs="仿宋_GB2312"/>
          <w:b w:val="0"/>
          <w:bCs/>
          <w:color w:val="auto"/>
          <w:spacing w:val="-2"/>
          <w:sz w:val="32"/>
          <w:szCs w:val="32"/>
          <w:highlight w:val="none"/>
          <w:lang w:val="en-US" w:eastAsia="zh-CN"/>
        </w:rPr>
        <w:t>简述本市经济社会发展（经济体量、年末常</w:t>
      </w:r>
      <w:r>
        <w:rPr>
          <w:rFonts w:hint="default" w:ascii="仿宋_GB2312" w:hAnsi="仿宋_GB2312" w:eastAsia="仿宋_GB2312" w:cs="仿宋_GB2312"/>
          <w:b w:val="0"/>
          <w:bCs/>
          <w:color w:val="auto"/>
          <w:spacing w:val="-2"/>
          <w:sz w:val="32"/>
          <w:szCs w:val="32"/>
          <w:highlight w:val="none"/>
          <w:lang w:val="en" w:eastAsia="zh-CN"/>
        </w:rPr>
        <w:t>住</w:t>
      </w:r>
      <w:r>
        <w:rPr>
          <w:rFonts w:hint="eastAsia" w:ascii="仿宋_GB2312" w:hAnsi="仿宋_GB2312" w:eastAsia="仿宋_GB2312" w:cs="仿宋_GB2312"/>
          <w:b w:val="0"/>
          <w:bCs/>
          <w:color w:val="auto"/>
          <w:spacing w:val="-2"/>
          <w:sz w:val="32"/>
          <w:szCs w:val="32"/>
          <w:highlight w:val="none"/>
          <w:lang w:val="en-US" w:eastAsia="zh-CN"/>
        </w:rPr>
        <w:t>人口、人均可支配收入等方面）、城市产业布局（产业构成、优势特色产业、服务业经营主体发展情况等）</w:t>
      </w:r>
      <w:r>
        <w:rPr>
          <w:rFonts w:hint="eastAsia" w:ascii="仿宋_GB2312" w:hAnsi="仿宋_GB2312" w:eastAsia="仿宋_GB2312" w:cs="仿宋_GB2312"/>
          <w:b w:val="0"/>
          <w:bCs/>
          <w:color w:val="auto"/>
          <w:spacing w:val="-2"/>
          <w:sz w:val="32"/>
          <w:szCs w:val="32"/>
          <w:highlight w:val="none"/>
          <w:lang w:val="en" w:eastAsia="zh-CN"/>
        </w:rPr>
        <w:t>以及</w:t>
      </w:r>
      <w:r>
        <w:rPr>
          <w:rFonts w:hint="eastAsia" w:ascii="仿宋_GB2312" w:hAnsi="仿宋_GB2312" w:eastAsia="仿宋_GB2312" w:cs="仿宋_GB2312"/>
          <w:b w:val="0"/>
          <w:bCs/>
          <w:color w:val="auto"/>
          <w:spacing w:val="-2"/>
          <w:sz w:val="32"/>
          <w:szCs w:val="32"/>
          <w:highlight w:val="none"/>
          <w:lang w:val="en-US" w:eastAsia="zh-CN"/>
        </w:rPr>
        <w:t>地方政府财力、债务等方面的基本情况</w:t>
      </w:r>
      <w:r>
        <w:rPr>
          <w:rFonts w:hint="default" w:ascii="仿宋_GB2312" w:hAnsi="仿宋_GB2312" w:eastAsia="仿宋_GB2312" w:cs="仿宋_GB2312"/>
          <w:b w:val="0"/>
          <w:bCs/>
          <w:color w:val="auto"/>
          <w:spacing w:val="-2"/>
          <w:sz w:val="32"/>
          <w:szCs w:val="32"/>
          <w:highlight w:val="none"/>
          <w:lang w:val="en" w:eastAsia="zh-CN"/>
        </w:rPr>
        <w:t>；</w:t>
      </w:r>
      <w:r>
        <w:rPr>
          <w:rFonts w:hint="eastAsia" w:ascii="仿宋_GB2312" w:hAnsi="仿宋_GB2312" w:eastAsia="仿宋_GB2312" w:cs="仿宋_GB2312"/>
          <w:b w:val="0"/>
          <w:bCs/>
          <w:color w:val="auto"/>
          <w:spacing w:val="-2"/>
          <w:sz w:val="32"/>
          <w:szCs w:val="32"/>
          <w:highlight w:val="none"/>
          <w:lang w:val="en-US" w:eastAsia="zh-CN"/>
        </w:rPr>
        <w:t>城市消费市场运行（社会消费品零售总额、人均服务性消费支出等）、商业空间布局、打造标志性商圈和消费促进活动等情况</w:t>
      </w:r>
      <w:r>
        <w:rPr>
          <w:rFonts w:hint="eastAsia" w:ascii="仿宋_GB2312" w:hAnsi="仿宋_GB2312" w:eastAsia="仿宋_GB2312" w:cs="仿宋_GB2312"/>
          <w:b w:val="0"/>
          <w:bCs/>
          <w:lang w:eastAsia="zh-CN"/>
        </w:rPr>
        <w:t>。</w:t>
      </w:r>
    </w:p>
    <w:p w14:paraId="74F0825C">
      <w:pPr>
        <w:bidi w:val="0"/>
        <w:snapToGrid/>
        <w:spacing w:beforeLines="0" w:afterLines="0" w:line="240" w:lineRule="auto"/>
        <w:rPr>
          <w:rFonts w:hint="default" w:ascii="Times New Roman" w:hAnsi="Times New Roman"/>
          <w:lang w:val="en-US" w:eastAsia="zh-CN"/>
        </w:rPr>
      </w:pPr>
      <w:r>
        <w:rPr>
          <w:rStyle w:val="10"/>
          <w:rFonts w:hint="eastAsia" w:ascii="Times New Roman" w:hAnsi="Times New Roman"/>
          <w:lang w:eastAsia="zh-CN"/>
        </w:rPr>
        <w:t>（</w:t>
      </w:r>
      <w:r>
        <w:rPr>
          <w:rStyle w:val="10"/>
          <w:rFonts w:hint="eastAsia" w:ascii="宋体" w:hAnsi="宋体" w:cs="宋体"/>
          <w:lang w:eastAsia="zh-CN"/>
        </w:rPr>
        <w:t>二</w:t>
      </w:r>
      <w:r>
        <w:rPr>
          <w:rStyle w:val="10"/>
          <w:rFonts w:hint="eastAsia" w:ascii="Times New Roman" w:hAnsi="Times New Roman"/>
          <w:lang w:eastAsia="zh-CN"/>
        </w:rPr>
        <w:t>）工作基础。</w:t>
      </w:r>
      <w:r>
        <w:rPr>
          <w:rFonts w:hint="eastAsia" w:ascii="Times New Roman" w:hAnsi="Times New Roman"/>
          <w:lang w:eastAsia="zh-CN"/>
        </w:rPr>
        <w:t>本市在推进消费新业态新模式新场景建设中已有的基础和取得的成效。</w:t>
      </w:r>
      <w:r>
        <w:rPr>
          <w:rFonts w:hint="eastAsia" w:ascii="Times New Roman" w:hAnsi="Times New Roman"/>
          <w:b/>
          <w:bCs/>
          <w:lang w:eastAsia="zh-CN"/>
        </w:rPr>
        <w:t>一是</w:t>
      </w:r>
      <w:r>
        <w:rPr>
          <w:rFonts w:hint="eastAsia" w:ascii="Times New Roman" w:hAnsi="Times New Roman"/>
          <w:lang w:eastAsia="zh-CN"/>
        </w:rPr>
        <w:t>本市在提振消费工作方面建立</w:t>
      </w:r>
      <w:r>
        <w:rPr>
          <w:rFonts w:hint="eastAsia" w:ascii="宋体" w:hAnsi="宋体" w:cs="宋体"/>
          <w:lang w:eastAsia="zh-CN"/>
        </w:rPr>
        <w:t>的领导组织架构、部门职责分工、</w:t>
      </w:r>
      <w:r>
        <w:rPr>
          <w:rFonts w:hint="default" w:ascii="宋体" w:hAnsi="宋体" w:cs="宋体"/>
          <w:lang w:val="en" w:eastAsia="zh-CN"/>
        </w:rPr>
        <w:t>法律规章</w:t>
      </w:r>
      <w:r>
        <w:rPr>
          <w:rFonts w:hint="eastAsia" w:ascii="宋体" w:hAnsi="宋体" w:cs="宋体"/>
          <w:lang w:eastAsia="zh-CN"/>
        </w:rPr>
        <w:t>制度</w:t>
      </w:r>
      <w:r>
        <w:rPr>
          <w:rFonts w:hint="default" w:ascii="宋体" w:hAnsi="宋体" w:cs="宋体"/>
          <w:lang w:val="en" w:eastAsia="zh-CN"/>
        </w:rPr>
        <w:t>，以及</w:t>
      </w:r>
      <w:r>
        <w:rPr>
          <w:rFonts w:hint="eastAsia" w:ascii="宋体" w:hAnsi="宋体" w:cs="宋体"/>
          <w:lang w:eastAsia="zh-CN"/>
        </w:rPr>
        <w:t>相关工作机制及实施</w:t>
      </w:r>
      <w:r>
        <w:rPr>
          <w:rFonts w:hint="eastAsia" w:ascii="Times New Roman" w:hAnsi="Times New Roman"/>
          <w:lang w:eastAsia="zh-CN"/>
        </w:rPr>
        <w:t>情况；</w:t>
      </w:r>
      <w:r>
        <w:rPr>
          <w:rFonts w:hint="eastAsia" w:ascii="Times New Roman" w:hAnsi="Times New Roman"/>
          <w:b/>
          <w:bCs/>
          <w:lang w:eastAsia="zh-CN"/>
        </w:rPr>
        <w:t>二是</w:t>
      </w:r>
      <w:r>
        <w:rPr>
          <w:rFonts w:hint="eastAsia" w:ascii="Times New Roman" w:hAnsi="Times New Roman"/>
          <w:lang w:eastAsia="zh-CN"/>
        </w:rPr>
        <w:t>在发展首发经济方面开展的工作和成效；</w:t>
      </w:r>
      <w:r>
        <w:rPr>
          <w:rFonts w:hint="eastAsia" w:ascii="Times New Roman" w:hAnsi="Times New Roman"/>
          <w:b/>
          <w:bCs/>
          <w:lang w:eastAsia="zh-CN"/>
        </w:rPr>
        <w:t>三是</w:t>
      </w:r>
      <w:r>
        <w:rPr>
          <w:rFonts w:hint="eastAsia" w:ascii="Times New Roman" w:hAnsi="Times New Roman"/>
          <w:lang w:eastAsia="zh-CN"/>
        </w:rPr>
        <w:t>在创新多元化服务消费场景、促进商旅文体健深度融合、打造外贸优品消费场景等方面开展的工作和成效；</w:t>
      </w:r>
      <w:r>
        <w:rPr>
          <w:rFonts w:hint="eastAsia" w:ascii="Times New Roman" w:hAnsi="Times New Roman"/>
          <w:b/>
          <w:bCs/>
          <w:lang w:eastAsia="zh-CN"/>
        </w:rPr>
        <w:t>四是</w:t>
      </w:r>
      <w:r>
        <w:rPr>
          <w:rFonts w:hint="eastAsia" w:ascii="Times New Roman" w:hAnsi="Times New Roman"/>
          <w:lang w:eastAsia="zh-CN"/>
        </w:rPr>
        <w:t>推动优质消费资源与知名IP融合发展、建设“人工智能</w:t>
      </w:r>
      <w:r>
        <w:rPr>
          <w:rFonts w:hint="eastAsia" w:ascii="Times New Roman" w:hAnsi="Times New Roman"/>
          <w:lang w:val="en-US" w:eastAsia="zh-CN"/>
        </w:rPr>
        <w:t>+消费</w:t>
      </w:r>
      <w:r>
        <w:rPr>
          <w:rFonts w:hint="eastAsia" w:ascii="Times New Roman" w:hAnsi="Times New Roman"/>
          <w:lang w:eastAsia="zh-CN"/>
        </w:rPr>
        <w:t>”应用场景等方面的工作</w:t>
      </w:r>
      <w:r>
        <w:rPr>
          <w:rFonts w:hint="default" w:ascii="Times New Roman" w:hAnsi="Times New Roman"/>
          <w:lang w:val="en" w:eastAsia="zh-CN"/>
        </w:rPr>
        <w:t>和</w:t>
      </w:r>
      <w:r>
        <w:rPr>
          <w:rFonts w:hint="eastAsia" w:ascii="Times New Roman" w:hAnsi="Times New Roman"/>
          <w:lang w:eastAsia="zh-CN"/>
        </w:rPr>
        <w:t>成效；</w:t>
      </w:r>
      <w:r>
        <w:rPr>
          <w:rFonts w:hint="eastAsia" w:ascii="Times New Roman" w:hAnsi="Times New Roman"/>
          <w:b/>
          <w:bCs/>
          <w:lang w:eastAsia="zh-CN"/>
        </w:rPr>
        <w:t>五是</w:t>
      </w:r>
      <w:r>
        <w:rPr>
          <w:rFonts w:hint="eastAsia" w:ascii="Times New Roman" w:hAnsi="Times New Roman"/>
          <w:lang w:eastAsia="zh-CN"/>
        </w:rPr>
        <w:t>在提升居民消费能力、优化消费环境、加强数据治理等方面的工作亮点及成效。</w:t>
      </w:r>
    </w:p>
    <w:p w14:paraId="1942CD1A">
      <w:pPr>
        <w:pStyle w:val="2"/>
        <w:bidi w:val="0"/>
        <w:snapToGrid/>
        <w:spacing w:line="240" w:lineRule="auto"/>
        <w:rPr>
          <w:rFonts w:hint="default" w:ascii="Times New Roman" w:hAnsi="Times New Roman"/>
          <w:lang w:val="en-US" w:eastAsia="zh-CN"/>
        </w:rPr>
      </w:pPr>
      <w:r>
        <w:rPr>
          <w:rFonts w:hint="eastAsia" w:ascii="Times New Roman" w:hAnsi="Times New Roman"/>
          <w:lang w:val="en-US" w:eastAsia="zh-CN"/>
        </w:rPr>
        <w:t>（三）存在的堵点卡点和问题短板。</w:t>
      </w:r>
      <w:r>
        <w:rPr>
          <w:rFonts w:hint="eastAsia" w:ascii="Times New Roman" w:hAnsi="Times New Roman" w:eastAsia="仿宋_GB2312" w:cs="Times New Roman"/>
          <w:b w:val="0"/>
          <w:kern w:val="2"/>
          <w:sz w:val="32"/>
          <w:szCs w:val="24"/>
          <w:lang w:val="en-US" w:eastAsia="zh-CN" w:bidi="ar-SA"/>
        </w:rPr>
        <w:t>梳理本市消费新业态新模式新场景建设中，在供给水平、主体培育、创新发展、要素支撑、环境建设等方面存在的</w:t>
      </w:r>
      <w:r>
        <w:rPr>
          <w:rFonts w:hint="eastAsia" w:ascii="宋体" w:hAnsi="宋体" w:eastAsia="仿宋_GB2312" w:cs="宋体"/>
          <w:b w:val="0"/>
          <w:kern w:val="2"/>
          <w:sz w:val="32"/>
          <w:szCs w:val="24"/>
          <w:lang w:val="en-US" w:eastAsia="zh-CN" w:bidi="ar-SA"/>
        </w:rPr>
        <w:t>堵点卡点和</w:t>
      </w:r>
      <w:r>
        <w:rPr>
          <w:rFonts w:hint="eastAsia" w:ascii="Times New Roman" w:hAnsi="Times New Roman" w:eastAsia="仿宋_GB2312" w:cs="Times New Roman"/>
          <w:b w:val="0"/>
          <w:kern w:val="2"/>
          <w:sz w:val="32"/>
          <w:szCs w:val="24"/>
          <w:lang w:val="en-US" w:eastAsia="zh-CN" w:bidi="ar-SA"/>
        </w:rPr>
        <w:t>问题短板，并对有关原因进行分析。问题分析应实事求是、全面准确</w:t>
      </w:r>
      <w:r>
        <w:rPr>
          <w:rFonts w:hint="eastAsia" w:ascii="宋体" w:hAnsi="宋体" w:eastAsia="仿宋_GB2312" w:cs="宋体"/>
          <w:b w:val="0"/>
          <w:kern w:val="2"/>
          <w:sz w:val="32"/>
          <w:szCs w:val="24"/>
          <w:lang w:val="en-US" w:eastAsia="zh-CN" w:bidi="ar-SA"/>
        </w:rPr>
        <w:t>、突出重点</w:t>
      </w:r>
      <w:r>
        <w:rPr>
          <w:rFonts w:hint="eastAsia" w:ascii="Times New Roman" w:hAnsi="Times New Roman" w:eastAsia="仿宋_GB2312" w:cs="Times New Roman"/>
          <w:b w:val="0"/>
          <w:kern w:val="2"/>
          <w:sz w:val="32"/>
          <w:szCs w:val="24"/>
          <w:lang w:val="en-US" w:eastAsia="zh-CN" w:bidi="ar-SA"/>
        </w:rPr>
        <w:t>，有相应的事例和数字支撑，避免泛泛而谈。</w:t>
      </w:r>
    </w:p>
    <w:p w14:paraId="27C3542E">
      <w:pPr>
        <w:pStyle w:val="3"/>
        <w:bidi w:val="0"/>
        <w:snapToGrid/>
        <w:spacing w:line="240" w:lineRule="auto"/>
        <w:rPr>
          <w:rFonts w:hint="eastAsia" w:ascii="Times New Roman" w:hAnsi="Times New Roman"/>
          <w:lang w:val="en-US" w:eastAsia="zh-CN"/>
        </w:rPr>
      </w:pPr>
      <w:r>
        <w:rPr>
          <w:rFonts w:hint="eastAsia" w:ascii="Times New Roman" w:hAnsi="Times New Roman"/>
          <w:lang w:val="en-US" w:eastAsia="zh-CN"/>
        </w:rPr>
        <w:t>二、总体</w:t>
      </w:r>
      <w:r>
        <w:rPr>
          <w:rFonts w:hint="eastAsia" w:ascii="宋体" w:hAnsi="宋体" w:cs="宋体"/>
          <w:lang w:val="en-US" w:eastAsia="zh-CN"/>
        </w:rPr>
        <w:t>要求</w:t>
      </w:r>
    </w:p>
    <w:p w14:paraId="7611F2FD">
      <w:pPr>
        <w:bidi w:val="0"/>
        <w:snapToGrid/>
        <w:spacing w:beforeLines="0" w:afterLines="0" w:line="240" w:lineRule="auto"/>
        <w:rPr>
          <w:rFonts w:hint="eastAsia" w:ascii="Times New Roman" w:hAnsi="Times New Roman"/>
          <w:lang w:val="en-US" w:eastAsia="zh-CN"/>
        </w:rPr>
      </w:pPr>
      <w:r>
        <w:rPr>
          <w:rStyle w:val="10"/>
          <w:rFonts w:hint="eastAsia" w:ascii="Times New Roman" w:hAnsi="Times New Roman"/>
          <w:lang w:val="en-US" w:eastAsia="zh-CN"/>
        </w:rPr>
        <w:t>（一）总体思路。</w:t>
      </w:r>
      <w:r>
        <w:rPr>
          <w:rFonts w:hint="eastAsia" w:ascii="Times New Roman" w:hAnsi="Times New Roman"/>
          <w:lang w:val="en-US" w:eastAsia="zh-CN"/>
        </w:rPr>
        <w:t>以习近平新时代中国特色社会主义思想为指导，全面贯彻</w:t>
      </w:r>
      <w:r>
        <w:rPr>
          <w:rFonts w:hint="eastAsia" w:ascii="Times New Roman" w:hAnsi="Times New Roman" w:cs="Times New Roman"/>
          <w:lang w:eastAsia="zh-CN"/>
        </w:rPr>
        <w:t>落实</w:t>
      </w:r>
      <w:r>
        <w:rPr>
          <w:rFonts w:hint="default" w:ascii="Times New Roman" w:hAnsi="Times New Roman" w:cs="Times New Roman"/>
          <w:lang w:eastAsia="zh-CN"/>
        </w:rPr>
        <w:t>党的二十大和二十届二中、三中全会精神，</w:t>
      </w:r>
      <w:r>
        <w:rPr>
          <w:rFonts w:hint="eastAsia" w:ascii="Times New Roman" w:hAnsi="Times New Roman" w:eastAsia="仿宋_GB2312" w:cs="仿宋_GB2312"/>
          <w:sz w:val="32"/>
          <w:szCs w:val="32"/>
          <w:lang w:val="en-US" w:eastAsia="zh-CN"/>
        </w:rPr>
        <w:t>深入落实</w:t>
      </w:r>
      <w:r>
        <w:rPr>
          <w:rFonts w:hint="eastAsia" w:ascii="Times New Roman" w:hAnsi="Times New Roman" w:cs="仿宋_GB2312"/>
          <w:sz w:val="32"/>
          <w:szCs w:val="32"/>
          <w:lang w:val="en-US" w:eastAsia="zh-CN"/>
        </w:rPr>
        <w:t>党中央、</w:t>
      </w:r>
      <w:r>
        <w:rPr>
          <w:rFonts w:hint="eastAsia" w:ascii="Times New Roman" w:hAnsi="Times New Roman" w:eastAsia="仿宋_GB2312" w:cs="仿宋_GB2312"/>
          <w:sz w:val="32"/>
          <w:szCs w:val="32"/>
          <w:lang w:val="en-US" w:eastAsia="zh-CN"/>
        </w:rPr>
        <w:t>国务院</w:t>
      </w:r>
      <w:r>
        <w:rPr>
          <w:rFonts w:hint="eastAsia" w:ascii="Times New Roman" w:hAnsi="Times New Roman" w:cs="仿宋_GB2312"/>
          <w:sz w:val="32"/>
          <w:szCs w:val="32"/>
          <w:lang w:val="en-US" w:eastAsia="zh-CN"/>
        </w:rPr>
        <w:t>关于大力提振消费的</w:t>
      </w:r>
      <w:r>
        <w:rPr>
          <w:rFonts w:hint="eastAsia" w:ascii="Times New Roman" w:hAnsi="Times New Roman" w:eastAsia="仿宋_GB2312" w:cs="仿宋_GB2312"/>
          <w:sz w:val="32"/>
          <w:szCs w:val="32"/>
          <w:lang w:val="en-US" w:eastAsia="zh-CN"/>
        </w:rPr>
        <w:t>决策部署，</w:t>
      </w:r>
      <w:r>
        <w:rPr>
          <w:rFonts w:hint="eastAsia" w:ascii="宋体" w:hAnsi="宋体" w:cs="宋体"/>
          <w:lang w:val="en-US" w:eastAsia="zh-CN"/>
        </w:rPr>
        <w:t>提出</w:t>
      </w:r>
      <w:r>
        <w:rPr>
          <w:rFonts w:hint="eastAsia" w:ascii="Times New Roman" w:hAnsi="Times New Roman"/>
          <w:lang w:val="en-US" w:eastAsia="zh-CN"/>
        </w:rPr>
        <w:t>发展消费新业态新模式新场景的</w:t>
      </w:r>
      <w:r>
        <w:rPr>
          <w:rFonts w:hint="eastAsia" w:ascii="宋体" w:hAnsi="宋体" w:cs="宋体"/>
          <w:lang w:val="en-US" w:eastAsia="zh-CN"/>
        </w:rPr>
        <w:t>总体</w:t>
      </w:r>
      <w:r>
        <w:rPr>
          <w:rFonts w:hint="eastAsia" w:ascii="Times New Roman" w:hAnsi="Times New Roman"/>
          <w:lang w:val="en-US" w:eastAsia="zh-CN"/>
        </w:rPr>
        <w:t>思路，</w:t>
      </w:r>
      <w:r>
        <w:rPr>
          <w:rFonts w:hint="eastAsia" w:ascii="宋体" w:hAnsi="宋体" w:cs="宋体"/>
          <w:lang w:val="en-US" w:eastAsia="zh-CN"/>
        </w:rPr>
        <w:t>坚持问题导向、系统谋划，明确</w:t>
      </w:r>
      <w:r>
        <w:rPr>
          <w:rFonts w:hint="eastAsia" w:ascii="Times New Roman" w:hAnsi="Times New Roman"/>
          <w:lang w:val="en-US" w:eastAsia="zh-CN"/>
        </w:rPr>
        <w:t>工作开展的主要方向、重点领域、工作路径与抓手，确保试点工作对于提振本地消费及经济发展具有显著拉动作用。</w:t>
      </w:r>
    </w:p>
    <w:p w14:paraId="0D7F9833">
      <w:pPr>
        <w:bidi w:val="0"/>
        <w:snapToGrid/>
        <w:spacing w:beforeLines="0" w:afterLines="0" w:line="240" w:lineRule="auto"/>
        <w:rPr>
          <w:rFonts w:hint="eastAsia" w:ascii="Times New Roman" w:hAnsi="Times New Roman"/>
          <w:lang w:val="en-US" w:eastAsia="zh-CN"/>
        </w:rPr>
      </w:pPr>
      <w:r>
        <w:rPr>
          <w:rStyle w:val="10"/>
          <w:rFonts w:hint="eastAsia" w:ascii="Times New Roman" w:hAnsi="Times New Roman"/>
          <w:lang w:val="en-US" w:eastAsia="zh-CN"/>
        </w:rPr>
        <w:t>（二）基本原则。</w:t>
      </w:r>
      <w:r>
        <w:rPr>
          <w:rFonts w:hint="eastAsia" w:ascii="Times New Roman" w:hAnsi="Times New Roman"/>
          <w:lang w:val="en-US" w:eastAsia="zh-CN"/>
        </w:rPr>
        <w:t>结合本市经济社会发展特征，提出开展消费新业态新模式新场景试点工作的基本原则。</w:t>
      </w:r>
    </w:p>
    <w:p w14:paraId="443F8CCB">
      <w:pPr>
        <w:pStyle w:val="4"/>
        <w:keepNext w:val="0"/>
        <w:keepLines w:val="0"/>
        <w:pageBreakBefore w:val="0"/>
        <w:widowControl w:val="0"/>
        <w:kinsoku/>
        <w:wordWrap/>
        <w:overflowPunct/>
        <w:topLinePunct w:val="0"/>
        <w:autoSpaceDE/>
        <w:autoSpaceDN/>
        <w:bidi w:val="0"/>
        <w:adjustRightInd/>
        <w:snapToGrid/>
        <w:spacing w:beforeLines="0" w:after="0" w:afterLines="0" w:line="240" w:lineRule="auto"/>
        <w:ind w:firstLine="644"/>
        <w:textAlignment w:val="auto"/>
        <w:rPr>
          <w:rFonts w:hint="eastAsia" w:ascii="仿宋_GB2312" w:hAnsi="仿宋_GB2312" w:eastAsia="仿宋_GB2312" w:cs="仿宋_GB2312"/>
          <w:color w:val="auto"/>
          <w:spacing w:val="-2"/>
          <w:kern w:val="2"/>
          <w:sz w:val="32"/>
          <w:szCs w:val="32"/>
          <w:highlight w:val="none"/>
          <w:lang w:val="en-US" w:eastAsia="zh-CN" w:bidi="ar-SA"/>
        </w:rPr>
      </w:pPr>
      <w:r>
        <w:rPr>
          <w:rStyle w:val="10"/>
          <w:rFonts w:hint="eastAsia" w:ascii="Times New Roman" w:hAnsi="Times New Roman"/>
          <w:lang w:val="en-US" w:eastAsia="zh-CN"/>
        </w:rPr>
        <w:t>（三）主要目标。</w:t>
      </w:r>
      <w:r>
        <w:rPr>
          <w:rFonts w:hint="eastAsia" w:ascii="仿宋_GB2312" w:hAnsi="仿宋_GB2312" w:eastAsia="仿宋_GB2312" w:cs="仿宋_GB2312"/>
          <w:color w:val="auto"/>
          <w:spacing w:val="-2"/>
          <w:kern w:val="2"/>
          <w:sz w:val="32"/>
          <w:szCs w:val="32"/>
          <w:highlight w:val="none"/>
          <w:lang w:val="en-US" w:eastAsia="zh-CN" w:bidi="ar-SA"/>
        </w:rPr>
        <w:t>包括总体目标、绩效目标</w:t>
      </w:r>
      <w:r>
        <w:rPr>
          <w:rFonts w:hint="eastAsia" w:ascii="仿宋_GB2312" w:hAnsi="仿宋_GB2312" w:cs="仿宋_GB2312"/>
          <w:color w:val="auto"/>
          <w:spacing w:val="-2"/>
          <w:kern w:val="2"/>
          <w:sz w:val="32"/>
          <w:szCs w:val="32"/>
          <w:highlight w:val="none"/>
          <w:lang w:val="en-US" w:eastAsia="zh-CN" w:bidi="ar-SA"/>
        </w:rPr>
        <w:t>两</w:t>
      </w:r>
      <w:r>
        <w:rPr>
          <w:rFonts w:hint="eastAsia" w:ascii="仿宋_GB2312" w:hAnsi="仿宋_GB2312" w:eastAsia="仿宋_GB2312" w:cs="仿宋_GB2312"/>
          <w:color w:val="auto"/>
          <w:spacing w:val="-2"/>
          <w:kern w:val="2"/>
          <w:sz w:val="32"/>
          <w:szCs w:val="32"/>
          <w:highlight w:val="none"/>
          <w:lang w:val="en-US" w:eastAsia="zh-CN" w:bidi="ar-SA"/>
        </w:rPr>
        <w:t>部分。</w:t>
      </w:r>
    </w:p>
    <w:p w14:paraId="71BDA61C">
      <w:pPr>
        <w:bidi w:val="0"/>
        <w:snapToGrid/>
        <w:spacing w:beforeLines="0" w:afterLines="0" w:line="240" w:lineRule="auto"/>
        <w:rPr>
          <w:rFonts w:hint="eastAsia" w:ascii="Times New Roman" w:hAnsi="Times New Roman"/>
          <w:lang w:val="en-US" w:eastAsia="zh-CN"/>
        </w:rPr>
      </w:pPr>
      <w:r>
        <w:rPr>
          <w:rFonts w:hint="eastAsia" w:ascii="仿宋_GB2312" w:hAnsi="仿宋_GB2312" w:eastAsia="仿宋_GB2312" w:cs="仿宋_GB2312"/>
          <w:color w:val="auto"/>
          <w:spacing w:val="-2"/>
          <w:kern w:val="2"/>
          <w:sz w:val="32"/>
          <w:szCs w:val="32"/>
          <w:highlight w:val="none"/>
          <w:lang w:val="en-US" w:eastAsia="zh-CN" w:bidi="ar-SA"/>
        </w:rPr>
        <w:t>其中</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b/>
          <w:bCs/>
          <w:color w:val="auto"/>
          <w:spacing w:val="-2"/>
          <w:kern w:val="2"/>
          <w:sz w:val="32"/>
          <w:szCs w:val="32"/>
          <w:highlight w:val="none"/>
          <w:lang w:val="en-US" w:eastAsia="zh-CN" w:bidi="ar-SA"/>
        </w:rPr>
        <w:t>总体目标：</w:t>
      </w:r>
      <w:r>
        <w:rPr>
          <w:rFonts w:hint="eastAsia" w:ascii="仿宋_GB2312" w:hAnsi="仿宋_GB2312" w:eastAsia="仿宋_GB2312" w:cs="仿宋_GB2312"/>
          <w:color w:val="auto"/>
          <w:spacing w:val="-2"/>
          <w:kern w:val="2"/>
          <w:sz w:val="32"/>
          <w:szCs w:val="32"/>
          <w:highlight w:val="none"/>
          <w:lang w:val="en-US" w:eastAsia="zh-CN" w:bidi="ar-SA"/>
        </w:rPr>
        <w:t>文字描述</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突出问题导向</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通过开展</w:t>
      </w:r>
      <w:r>
        <w:rPr>
          <w:rFonts w:hint="eastAsia" w:ascii="宋体" w:hAnsi="宋体" w:eastAsia="仿宋_GB2312" w:cs="宋体"/>
          <w:b w:val="0"/>
          <w:kern w:val="2"/>
          <w:sz w:val="32"/>
          <w:szCs w:val="24"/>
          <w:lang w:val="en-US" w:eastAsia="zh-CN" w:bidi="ar-SA"/>
        </w:rPr>
        <w:t>消费新业态新模式新场景</w:t>
      </w:r>
      <w:r>
        <w:rPr>
          <w:rFonts w:hint="eastAsia" w:ascii="仿宋_GB2312" w:hAnsi="仿宋_GB2312" w:eastAsia="仿宋_GB2312" w:cs="仿宋_GB2312"/>
          <w:color w:val="auto"/>
          <w:spacing w:val="-2"/>
          <w:kern w:val="2"/>
          <w:sz w:val="32"/>
          <w:szCs w:val="32"/>
          <w:highlight w:val="none"/>
          <w:lang w:val="en-US" w:eastAsia="zh-CN" w:bidi="ar-SA"/>
        </w:rPr>
        <w:t>试点</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预期实现的结果</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兼顾定性和定量目标。</w:t>
      </w:r>
      <w:r>
        <w:rPr>
          <w:rFonts w:hint="eastAsia" w:ascii="仿宋_GB2312" w:hAnsi="仿宋_GB2312" w:eastAsia="仿宋_GB2312" w:cs="仿宋_GB2312"/>
          <w:b/>
          <w:bCs/>
          <w:color w:val="auto"/>
          <w:spacing w:val="-2"/>
          <w:kern w:val="2"/>
          <w:sz w:val="32"/>
          <w:szCs w:val="32"/>
          <w:highlight w:val="none"/>
          <w:lang w:val="en-US" w:eastAsia="zh-CN" w:bidi="ar-SA"/>
        </w:rPr>
        <w:t>绩效目标：</w:t>
      </w:r>
      <w:r>
        <w:rPr>
          <w:rFonts w:hint="eastAsia" w:ascii="仿宋_GB2312" w:hAnsi="仿宋_GB2312" w:eastAsia="仿宋_GB2312" w:cs="仿宋_GB2312"/>
          <w:color w:val="auto"/>
          <w:spacing w:val="-2"/>
          <w:kern w:val="2"/>
          <w:sz w:val="32"/>
          <w:szCs w:val="32"/>
          <w:highlight w:val="none"/>
          <w:lang w:val="en-US" w:eastAsia="zh-CN" w:bidi="ar-SA"/>
        </w:rPr>
        <w:t>围绕总体目标的要求</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定量和定性相结合</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cs="仿宋_GB2312"/>
          <w:color w:val="auto"/>
          <w:spacing w:val="-2"/>
          <w:kern w:val="2"/>
          <w:sz w:val="32"/>
          <w:szCs w:val="32"/>
          <w:highlight w:val="none"/>
          <w:lang w:val="en" w:eastAsia="zh-CN" w:bidi="ar-SA"/>
        </w:rPr>
        <w:t>申报城市结合实际</w:t>
      </w:r>
      <w:r>
        <w:rPr>
          <w:rFonts w:hint="eastAsia" w:ascii="仿宋_GB2312" w:hAnsi="仿宋_GB2312" w:eastAsia="仿宋_GB2312" w:cs="仿宋_GB2312"/>
          <w:color w:val="auto"/>
          <w:spacing w:val="-2"/>
          <w:kern w:val="2"/>
          <w:sz w:val="32"/>
          <w:szCs w:val="32"/>
          <w:highlight w:val="none"/>
          <w:lang w:val="en-US" w:eastAsia="zh-CN" w:bidi="ar-SA"/>
        </w:rPr>
        <w:t>填写具体绩效</w:t>
      </w:r>
      <w:r>
        <w:rPr>
          <w:rFonts w:hint="default" w:ascii="仿宋_GB2312" w:hAnsi="仿宋_GB2312" w:cs="仿宋_GB2312"/>
          <w:color w:val="auto"/>
          <w:spacing w:val="-2"/>
          <w:kern w:val="2"/>
          <w:sz w:val="32"/>
          <w:szCs w:val="32"/>
          <w:highlight w:val="none"/>
          <w:lang w:val="en" w:eastAsia="zh-CN" w:bidi="ar-SA"/>
        </w:rPr>
        <w:t>目</w:t>
      </w:r>
      <w:r>
        <w:rPr>
          <w:rFonts w:hint="eastAsia" w:ascii="仿宋_GB2312" w:hAnsi="仿宋_GB2312" w:eastAsia="仿宋_GB2312" w:cs="仿宋_GB2312"/>
          <w:color w:val="auto"/>
          <w:spacing w:val="-2"/>
          <w:kern w:val="2"/>
          <w:sz w:val="32"/>
          <w:szCs w:val="32"/>
          <w:highlight w:val="none"/>
          <w:lang w:val="en-US" w:eastAsia="zh-CN" w:bidi="ar-SA"/>
        </w:rPr>
        <w:t>标表</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作为总体目标实现程度的佐证和支撑。</w:t>
      </w:r>
    </w:p>
    <w:p w14:paraId="56D1EDB3">
      <w:pPr>
        <w:pStyle w:val="3"/>
        <w:bidi w:val="0"/>
        <w:snapToGrid/>
        <w:spacing w:line="240" w:lineRule="auto"/>
        <w:rPr>
          <w:rFonts w:hint="eastAsia" w:ascii="Times New Roman" w:hAnsi="Times New Roman"/>
          <w:lang w:val="en-US" w:eastAsia="zh-CN"/>
        </w:rPr>
      </w:pPr>
      <w:r>
        <w:rPr>
          <w:rFonts w:hint="eastAsia" w:ascii="Times New Roman" w:hAnsi="Times New Roman"/>
          <w:lang w:val="en-US" w:eastAsia="zh-CN"/>
        </w:rPr>
        <w:t>三、</w:t>
      </w:r>
      <w:r>
        <w:rPr>
          <w:rFonts w:hint="eastAsia" w:ascii="黑体" w:hAnsi="黑体" w:eastAsia="黑体" w:cs="黑体"/>
          <w:color w:val="auto"/>
          <w:szCs w:val="32"/>
          <w:lang w:eastAsia="zh-CN"/>
        </w:rPr>
        <w:t>重点任务及相关举措</w:t>
      </w:r>
    </w:p>
    <w:p w14:paraId="5BE099EB">
      <w:pPr>
        <w:bidi w:val="0"/>
        <w:snapToGrid/>
        <w:spacing w:beforeLines="0" w:afterLines="0" w:line="240" w:lineRule="auto"/>
        <w:rPr>
          <w:rFonts w:hint="eastAsia" w:ascii="Times New Roman" w:hAnsi="Times New Roman"/>
          <w:lang w:val="en-US" w:eastAsia="zh-CN"/>
        </w:rPr>
      </w:pPr>
      <w:r>
        <w:rPr>
          <w:rFonts w:hint="eastAsia" w:ascii="仿宋_GB2312" w:hAnsi="仿宋_GB2312" w:eastAsia="仿宋_GB2312" w:cs="仿宋_GB2312"/>
          <w:color w:val="auto"/>
          <w:spacing w:val="-2"/>
          <w:kern w:val="2"/>
          <w:sz w:val="32"/>
          <w:szCs w:val="32"/>
          <w:highlight w:val="none"/>
          <w:lang w:val="en-US" w:eastAsia="zh-CN" w:bidi="ar-SA"/>
        </w:rPr>
        <w:t>按照党中央、国务院关于大力提振消费决策部署</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Times New Roman" w:hAnsi="Times New Roman"/>
          <w:lang w:val="en-US" w:eastAsia="zh-CN"/>
        </w:rPr>
        <w:t>结合本地发展现状及问题，</w:t>
      </w:r>
      <w:r>
        <w:rPr>
          <w:rFonts w:hint="eastAsia" w:ascii="仿宋_GB2312" w:hAnsi="仿宋_GB2312" w:cs="仿宋_GB2312"/>
          <w:color w:val="auto"/>
          <w:spacing w:val="-2"/>
          <w:kern w:val="2"/>
          <w:sz w:val="32"/>
          <w:szCs w:val="32"/>
          <w:highlight w:val="none"/>
          <w:lang w:val="en-US" w:eastAsia="zh-CN" w:bidi="ar-SA"/>
        </w:rPr>
        <w:t>围绕</w:t>
      </w:r>
      <w:r>
        <w:rPr>
          <w:rFonts w:hint="eastAsia" w:ascii="仿宋_GB2312" w:hAnsi="仿宋_GB2312" w:eastAsia="仿宋_GB2312" w:cs="仿宋_GB2312"/>
          <w:color w:val="auto"/>
          <w:spacing w:val="-2"/>
          <w:kern w:val="2"/>
          <w:sz w:val="32"/>
          <w:szCs w:val="32"/>
          <w:highlight w:val="none"/>
          <w:lang w:val="en-US" w:eastAsia="zh-CN" w:bidi="ar-SA"/>
        </w:rPr>
        <w:t>《财政部 商务部关于开展消费新业态新模式新场景试点工作的通知》明确</w:t>
      </w:r>
      <w:r>
        <w:rPr>
          <w:rFonts w:hint="eastAsia" w:ascii="仿宋_GB2312" w:hAnsi="仿宋_GB2312" w:cs="仿宋_GB2312"/>
          <w:color w:val="auto"/>
          <w:spacing w:val="-2"/>
          <w:kern w:val="2"/>
          <w:sz w:val="32"/>
          <w:szCs w:val="32"/>
          <w:highlight w:val="none"/>
          <w:lang w:val="en-US" w:eastAsia="zh-CN" w:bidi="ar-SA"/>
        </w:rPr>
        <w:t>的</w:t>
      </w:r>
      <w:r>
        <w:rPr>
          <w:rFonts w:hint="eastAsia" w:ascii="仿宋_GB2312" w:hAnsi="仿宋_GB2312" w:eastAsia="仿宋_GB2312" w:cs="仿宋_GB2312"/>
          <w:color w:val="auto"/>
          <w:spacing w:val="-2"/>
          <w:kern w:val="2"/>
          <w:sz w:val="32"/>
          <w:szCs w:val="32"/>
          <w:highlight w:val="none"/>
          <w:lang w:val="en-US" w:eastAsia="zh-CN" w:bidi="ar-SA"/>
        </w:rPr>
        <w:t>支持方向</w:t>
      </w:r>
      <w:r>
        <w:rPr>
          <w:rFonts w:hint="eastAsia" w:ascii="仿宋_GB2312" w:hAnsi="仿宋_GB2312" w:cs="仿宋_GB2312"/>
          <w:color w:val="auto"/>
          <w:spacing w:val="-2"/>
          <w:kern w:val="2"/>
          <w:sz w:val="32"/>
          <w:szCs w:val="32"/>
          <w:highlight w:val="none"/>
          <w:lang w:val="en-US" w:eastAsia="zh-CN" w:bidi="ar-SA"/>
        </w:rPr>
        <w:t>和要求</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Times New Roman" w:hAnsi="Times New Roman"/>
          <w:lang w:val="en-US" w:eastAsia="zh-CN"/>
        </w:rPr>
        <w:t>提出发展消费新业态新模式新场景的重点任务措施。任务要全面、可落地，具有可操作性和创新性。</w:t>
      </w:r>
    </w:p>
    <w:p w14:paraId="46BF782E">
      <w:pPr>
        <w:bidi w:val="0"/>
        <w:snapToGrid/>
        <w:spacing w:beforeLines="0" w:afterLines="0" w:line="240" w:lineRule="auto"/>
        <w:rPr>
          <w:rFonts w:hint="default" w:ascii="Times New Roman" w:hAnsi="Times New Roman"/>
          <w:lang w:val="en-US" w:eastAsia="zh-CN"/>
        </w:rPr>
      </w:pPr>
      <w:r>
        <w:rPr>
          <w:rFonts w:hint="eastAsia" w:ascii="楷体_GB2312" w:hAnsi="楷体_GB2312" w:eastAsia="楷体_GB2312" w:cs="楷体_GB2312"/>
          <w:b/>
          <w:bCs/>
          <w:color w:val="auto"/>
          <w:szCs w:val="32"/>
          <w:highlight w:val="none"/>
          <w:lang w:val="en-US" w:eastAsia="zh-CN"/>
        </w:rPr>
        <w:t>（一）</w:t>
      </w:r>
      <w:r>
        <w:rPr>
          <w:rFonts w:hint="eastAsia" w:ascii="楷体_GB2312" w:hAnsi="楷体_GB2312" w:eastAsia="楷体_GB2312" w:cs="楷体_GB2312"/>
          <w:b/>
          <w:bCs/>
          <w:color w:val="auto"/>
          <w:sz w:val="32"/>
          <w:szCs w:val="32"/>
          <w:highlight w:val="none"/>
          <w:lang w:eastAsia="zh-CN"/>
        </w:rPr>
        <w:t>支持健全首发经济服务体系。</w:t>
      </w:r>
      <w:r>
        <w:rPr>
          <w:rFonts w:hint="eastAsia" w:ascii="Times New Roman" w:hAnsi="Times New Roman"/>
          <w:lang w:val="en-US" w:eastAsia="zh-CN"/>
        </w:rPr>
        <w:t>围绕打造有影响力和带动性的首发中心、首发经济集聚区等平台载体，支持有引领性、竞争力和经济带动效应的国内外优质品牌开设高能级首店、举办首发首秀首展活动，支持大型展会开设首发专区、专场等，提出具体工作举措。</w:t>
      </w:r>
    </w:p>
    <w:p w14:paraId="78A8DC75">
      <w:pPr>
        <w:bidi w:val="0"/>
        <w:snapToGrid/>
        <w:spacing w:beforeLines="0" w:afterLines="0" w:line="240" w:lineRule="auto"/>
        <w:ind w:firstLine="0" w:firstLineChars="0"/>
        <w:rPr>
          <w:rFonts w:hint="eastAsia" w:ascii="Times New Roman" w:hAnsi="Times New Roman"/>
          <w:b/>
          <w:bCs/>
          <w:lang w:val="en-US" w:eastAsia="zh-CN"/>
        </w:rPr>
      </w:pPr>
      <w:r>
        <w:rPr>
          <w:rFonts w:hint="eastAsia" w:ascii="Times New Roman" w:hAnsi="Times New Roman"/>
          <w:b/>
          <w:bCs/>
          <w:lang w:val="en-US" w:eastAsia="zh-CN"/>
        </w:rPr>
        <w:t xml:space="preserve">    </w:t>
      </w:r>
      <w:r>
        <w:rPr>
          <w:rFonts w:hint="eastAsia" w:ascii="楷体_GB2312" w:hAnsi="楷体_GB2312" w:eastAsia="楷体_GB2312" w:cs="楷体_GB2312"/>
          <w:b/>
          <w:bCs/>
          <w:color w:val="auto"/>
          <w:sz w:val="32"/>
          <w:szCs w:val="32"/>
          <w:highlight w:val="none"/>
          <w:lang w:eastAsia="zh-CN"/>
        </w:rPr>
        <w:t>（二）</w:t>
      </w:r>
      <w:r>
        <w:rPr>
          <w:rFonts w:hint="eastAsia" w:ascii="楷体_GB2312" w:hAnsi="楷体_GB2312" w:eastAsia="楷体_GB2312" w:cs="楷体_GB2312"/>
          <w:b/>
          <w:bCs/>
          <w:color w:val="auto"/>
          <w:sz w:val="32"/>
          <w:szCs w:val="32"/>
          <w:highlight w:val="none"/>
          <w:lang w:val="en-US" w:eastAsia="zh-CN"/>
        </w:rPr>
        <w:t>支持</w:t>
      </w:r>
      <w:r>
        <w:rPr>
          <w:rFonts w:hint="eastAsia" w:ascii="楷体_GB2312" w:hAnsi="楷体_GB2312" w:eastAsia="楷体_GB2312" w:cs="楷体_GB2312"/>
          <w:b/>
          <w:bCs/>
          <w:color w:val="auto"/>
          <w:sz w:val="32"/>
          <w:szCs w:val="32"/>
          <w:highlight w:val="none"/>
          <w:lang w:eastAsia="zh-CN"/>
        </w:rPr>
        <w:t>创新多元化服务</w:t>
      </w:r>
      <w:r>
        <w:rPr>
          <w:rFonts w:hint="eastAsia" w:ascii="楷体_GB2312" w:hAnsi="楷体_GB2312" w:eastAsia="楷体_GB2312" w:cs="楷体_GB2312"/>
          <w:b/>
          <w:bCs/>
          <w:color w:val="auto"/>
          <w:sz w:val="32"/>
          <w:szCs w:val="32"/>
          <w:highlight w:val="none"/>
          <w:lang w:val="en-US" w:eastAsia="zh-CN"/>
        </w:rPr>
        <w:t>消费场景。</w:t>
      </w:r>
      <w:r>
        <w:rPr>
          <w:rFonts w:hint="eastAsia" w:ascii="Times New Roman" w:hAnsi="Times New Roman"/>
          <w:lang w:val="en-US" w:eastAsia="zh-CN"/>
        </w:rPr>
        <w:t>重点围绕以下方向提出具体工作举措：</w:t>
      </w:r>
      <w:r>
        <w:rPr>
          <w:rFonts w:hint="eastAsia" w:ascii="Times New Roman" w:hAnsi="Times New Roman" w:eastAsia="仿宋_GB2312" w:cs="仿宋_GB2312"/>
          <w:b w:val="0"/>
          <w:bCs w:val="0"/>
          <w:sz w:val="32"/>
          <w:szCs w:val="32"/>
          <w:lang w:eastAsia="zh-CN"/>
        </w:rPr>
        <w:t>支持业态创新、模式创新</w:t>
      </w:r>
      <w:r>
        <w:rPr>
          <w:rFonts w:hint="eastAsia" w:ascii="Times New Roman" w:hAnsi="Times New Roman" w:eastAsia="仿宋_GB2312" w:cs="仿宋_GB2312"/>
          <w:sz w:val="32"/>
          <w:szCs w:val="32"/>
          <w:lang w:eastAsia="zh-CN"/>
        </w:rPr>
        <w:t>，推动人工智能、元宇宙等</w:t>
      </w:r>
      <w:r>
        <w:rPr>
          <w:rFonts w:hint="eastAsia" w:ascii="Times New Roman" w:hAnsi="Times New Roman" w:eastAsia="仿宋_GB2312" w:cs="仿宋_GB2312"/>
          <w:sz w:val="32"/>
          <w:szCs w:val="32"/>
          <w:lang w:val="en-US" w:eastAsia="zh-CN"/>
        </w:rPr>
        <w:t>数字技术在文娱、旅游、健康、体育等领域的深化应用，</w:t>
      </w:r>
      <w:r>
        <w:rPr>
          <w:rFonts w:hint="eastAsia" w:ascii="Times New Roman" w:hAnsi="Times New Roman" w:eastAsia="仿宋_GB2312" w:cs="仿宋_GB2312"/>
          <w:sz w:val="32"/>
          <w:szCs w:val="32"/>
          <w:lang w:eastAsia="zh-CN"/>
        </w:rPr>
        <w:t>打造商旅文体健融合的消费新场景</w:t>
      </w:r>
      <w:r>
        <w:rPr>
          <w:rFonts w:hint="eastAsia" w:ascii="Times New Roman" w:hAnsi="Times New Roman"/>
          <w:lang w:val="en-US" w:eastAsia="zh-CN"/>
        </w:rPr>
        <w:t>；</w:t>
      </w:r>
      <w:r>
        <w:rPr>
          <w:rFonts w:hint="eastAsia" w:ascii="Times New Roman" w:hAnsi="Times New Roman" w:eastAsia="仿宋_GB2312" w:cs="仿宋_GB2312"/>
          <w:sz w:val="32"/>
          <w:szCs w:val="32"/>
          <w:lang w:eastAsia="zh-CN"/>
        </w:rPr>
        <w:t>推动服务消费集聚区建设，</w:t>
      </w:r>
      <w:r>
        <w:rPr>
          <w:rFonts w:hint="eastAsia" w:ascii="Times New Roman" w:hAnsi="Times New Roman" w:eastAsia="仿宋_GB2312" w:cs="仿宋_GB2312"/>
          <w:sz w:val="32"/>
          <w:szCs w:val="32"/>
          <w:lang w:val="en-US" w:eastAsia="zh-CN"/>
        </w:rPr>
        <w:t>支持重点商圈、特色商业街区、</w:t>
      </w:r>
      <w:r>
        <w:rPr>
          <w:rFonts w:hint="eastAsia" w:ascii="Times New Roman" w:hAnsi="Times New Roman" w:eastAsia="仿宋_GB2312" w:cs="Times New Roman"/>
          <w:b w:val="0"/>
          <w:bCs w:val="0"/>
          <w:sz w:val="32"/>
          <w:szCs w:val="24"/>
          <w:lang w:val="en-US" w:eastAsia="zh-CN"/>
        </w:rPr>
        <w:t>文旅集聚区、</w:t>
      </w:r>
      <w:r>
        <w:rPr>
          <w:rFonts w:hint="eastAsia" w:ascii="Times New Roman" w:hAnsi="Times New Roman" w:cs="Times New Roman"/>
          <w:b w:val="0"/>
          <w:bCs w:val="0"/>
          <w:sz w:val="32"/>
          <w:szCs w:val="24"/>
          <w:lang w:val="en-US" w:eastAsia="zh-CN"/>
        </w:rPr>
        <w:t>会展场馆、</w:t>
      </w:r>
      <w:r>
        <w:rPr>
          <w:rFonts w:hint="eastAsia" w:ascii="Times New Roman" w:hAnsi="Times New Roman" w:eastAsia="仿宋_GB2312" w:cs="Times New Roman"/>
          <w:sz w:val="32"/>
          <w:szCs w:val="24"/>
          <w:lang w:val="en-US" w:eastAsia="zh-CN"/>
        </w:rPr>
        <w:t>传</w:t>
      </w:r>
      <w:r>
        <w:rPr>
          <w:rFonts w:hint="eastAsia" w:ascii="Times New Roman" w:hAnsi="Times New Roman" w:eastAsia="仿宋_GB2312" w:cs="仿宋_GB2312"/>
          <w:sz w:val="32"/>
          <w:szCs w:val="32"/>
          <w:lang w:val="en-US" w:eastAsia="zh-CN"/>
        </w:rPr>
        <w:t>统购物型商超、废旧工业厂区向多元消费场景升级，拓展增加文化时尚、健康体育、艺术展览、主题社交、休闲娱乐等服务消费功能，</w:t>
      </w:r>
      <w:r>
        <w:rPr>
          <w:rFonts w:hint="eastAsia" w:ascii="Times New Roman" w:hAnsi="Times New Roman" w:eastAsia="仿宋_GB2312" w:cs="仿宋_GB2312"/>
          <w:sz w:val="32"/>
          <w:szCs w:val="32"/>
          <w:highlight w:val="none"/>
        </w:rPr>
        <w:t>推动重点</w:t>
      </w:r>
      <w:r>
        <w:rPr>
          <w:rFonts w:hint="eastAsia" w:ascii="Times New Roman" w:hAnsi="Times New Roman" w:eastAsia="仿宋_GB2312" w:cs="仿宋_GB2312"/>
          <w:b w:val="0"/>
          <w:bCs w:val="0"/>
          <w:sz w:val="32"/>
          <w:szCs w:val="32"/>
          <w:highlight w:val="none"/>
        </w:rPr>
        <w:t>赛事</w:t>
      </w:r>
      <w:r>
        <w:rPr>
          <w:rFonts w:hint="eastAsia" w:ascii="Times New Roman" w:hAnsi="Times New Roman" w:eastAsia="仿宋_GB2312" w:cs="仿宋_GB2312"/>
          <w:b w:val="0"/>
          <w:bCs w:val="0"/>
          <w:sz w:val="32"/>
          <w:szCs w:val="32"/>
          <w:highlight w:val="none"/>
          <w:lang w:eastAsia="zh-CN"/>
        </w:rPr>
        <w:t>活动及演出</w:t>
      </w:r>
      <w:r>
        <w:rPr>
          <w:rFonts w:hint="eastAsia" w:ascii="Times New Roman" w:hAnsi="Times New Roman" w:eastAsia="仿宋_GB2312" w:cs="仿宋_GB2312"/>
          <w:sz w:val="32"/>
          <w:szCs w:val="32"/>
          <w:highlight w:val="none"/>
        </w:rPr>
        <w:t>“进商圈、进街区</w:t>
      </w:r>
      <w:r>
        <w:rPr>
          <w:rFonts w:hint="eastAsia" w:ascii="Times New Roman" w:hAnsi="Times New Roman" w:eastAsia="仿宋_GB2312" w:cs="仿宋_GB2312"/>
          <w:sz w:val="32"/>
          <w:szCs w:val="32"/>
          <w:highlight w:val="none"/>
          <w:lang w:eastAsia="zh-CN"/>
        </w:rPr>
        <w:t>、进景区</w:t>
      </w:r>
      <w:r>
        <w:rPr>
          <w:rFonts w:hint="eastAsia" w:ascii="Times New Roman" w:hAnsi="Times New Roman" w:eastAsia="仿宋_GB2312" w:cs="仿宋_GB2312"/>
          <w:sz w:val="32"/>
          <w:szCs w:val="32"/>
          <w:highlight w:val="none"/>
        </w:rPr>
        <w:t>”</w:t>
      </w:r>
      <w:r>
        <w:rPr>
          <w:rFonts w:hint="eastAsia" w:ascii="Times New Roman" w:hAnsi="Times New Roman" w:cs="仿宋_GB2312"/>
          <w:sz w:val="32"/>
          <w:szCs w:val="32"/>
          <w:highlight w:val="none"/>
          <w:lang w:eastAsia="zh-CN"/>
        </w:rPr>
        <w:t>；</w:t>
      </w:r>
      <w:r>
        <w:rPr>
          <w:rFonts w:hint="eastAsia" w:ascii="Times New Roman" w:hAnsi="Times New Roman" w:eastAsia="仿宋_GB2312" w:cs="仿宋_GB2312"/>
          <w:sz w:val="32"/>
          <w:szCs w:val="32"/>
          <w:lang w:eastAsia="zh-CN"/>
        </w:rPr>
        <w:t>发展夜间经济，打造夜间文化和旅游消费集聚区</w:t>
      </w:r>
      <w:r>
        <w:rPr>
          <w:rFonts w:hint="eastAsia" w:ascii="Times New Roman" w:hAnsi="Times New Roman" w:cs="仿宋_GB2312"/>
          <w:sz w:val="32"/>
          <w:szCs w:val="32"/>
          <w:lang w:eastAsia="zh-CN"/>
        </w:rPr>
        <w:t>；服务“一老一小”，打造银发金街、童趣乐园等；支持培育汽车后市场服务、旅居服务、演出服务、冰雪经济、体育赛事、旅游列车等服务消费新增长点领域，发展艺术展览、沉浸体验、数字艺术、房车露营等消费场景；促进家政等领域新业态新模式发展；</w:t>
      </w:r>
      <w:r>
        <w:rPr>
          <w:rFonts w:hint="eastAsia" w:ascii="Times New Roman" w:hAnsi="Times New Roman"/>
          <w:lang w:val="en-US" w:eastAsia="zh-CN"/>
        </w:rPr>
        <w:t>建设外贸优品展销中心、购物集聚区等。</w:t>
      </w:r>
    </w:p>
    <w:p w14:paraId="1323F958">
      <w:pPr>
        <w:bidi w:val="0"/>
        <w:snapToGrid/>
        <w:spacing w:beforeLines="0" w:afterLines="0" w:line="240" w:lineRule="auto"/>
        <w:rPr>
          <w:rFonts w:hint="default" w:ascii="Times New Roman" w:hAnsi="Times New Roman"/>
          <w:lang w:val="en-US" w:eastAsia="zh-CN"/>
        </w:rPr>
      </w:pPr>
      <w:r>
        <w:rPr>
          <w:rFonts w:hint="eastAsia" w:ascii="楷体_GB2312" w:hAnsi="楷体_GB2312" w:eastAsia="楷体_GB2312" w:cs="楷体_GB2312"/>
          <w:b/>
          <w:bCs/>
          <w:color w:val="auto"/>
          <w:sz w:val="32"/>
          <w:szCs w:val="32"/>
          <w:highlight w:val="none"/>
          <w:lang w:eastAsia="zh-CN"/>
        </w:rPr>
        <w:t>（三）支持优质消费资源与知名</w:t>
      </w:r>
      <w:r>
        <w:rPr>
          <w:rFonts w:hint="eastAsia" w:ascii="楷体_GB2312" w:hAnsi="楷体_GB2312" w:eastAsia="楷体_GB2312" w:cs="楷体_GB2312"/>
          <w:b/>
          <w:bCs/>
          <w:color w:val="auto"/>
          <w:sz w:val="32"/>
          <w:szCs w:val="32"/>
          <w:highlight w:val="none"/>
          <w:lang w:val="en-US" w:eastAsia="zh-CN"/>
        </w:rPr>
        <w:t>IP</w:t>
      </w:r>
      <w:r>
        <w:rPr>
          <w:rFonts w:hint="eastAsia" w:ascii="楷体_GB2312" w:hAnsi="楷体_GB2312" w:eastAsia="楷体_GB2312" w:cs="楷体_GB2312"/>
          <w:b/>
          <w:bCs/>
          <w:color w:val="auto"/>
          <w:sz w:val="32"/>
          <w:szCs w:val="32"/>
          <w:highlight w:val="none"/>
          <w:lang w:eastAsia="zh-CN"/>
        </w:rPr>
        <w:t>跨界联名。</w:t>
      </w:r>
      <w:r>
        <w:rPr>
          <w:rFonts w:hint="eastAsia" w:ascii="Times New Roman" w:hAnsi="Times New Roman"/>
          <w:b w:val="0"/>
          <w:bCs w:val="0"/>
          <w:highlight w:val="none"/>
          <w:lang w:val="en-US" w:eastAsia="zh-CN"/>
        </w:rPr>
        <w:t>围绕</w:t>
      </w:r>
      <w:r>
        <w:rPr>
          <w:rFonts w:hint="eastAsia" w:ascii="Times New Roman" w:hAnsi="Times New Roman"/>
          <w:lang w:val="en-US" w:eastAsia="zh-CN"/>
        </w:rPr>
        <w:t>推动全球知名IP、国潮IP、历史文化IP、本地特色IP联动开发系列周边产品，联动国潮动漫影视IP及文博场馆、非遗机构、历史文化名城等资源打造综合性消费场景，支持老字号企业、新消费品牌开发“老牌新品”、“国货潮品”，推动建设“人工智能+消费”标杆场景和集聚区等方面，提出相应工作重点。</w:t>
      </w:r>
    </w:p>
    <w:p w14:paraId="67EFE89F">
      <w:pPr>
        <w:pStyle w:val="3"/>
        <w:bidi w:val="0"/>
        <w:snapToGrid/>
        <w:spacing w:line="240" w:lineRule="auto"/>
        <w:rPr>
          <w:rFonts w:hint="eastAsia" w:ascii="Times New Roman" w:hAnsi="Times New Roman"/>
          <w:lang w:eastAsia="zh-CN"/>
        </w:rPr>
      </w:pPr>
      <w:r>
        <w:rPr>
          <w:rFonts w:hint="eastAsia" w:ascii="Times New Roman" w:hAnsi="Times New Roman"/>
          <w:lang w:eastAsia="zh-CN"/>
        </w:rPr>
        <w:t>四、主要项目</w:t>
      </w:r>
    </w:p>
    <w:p w14:paraId="351F327D">
      <w:pPr>
        <w:pStyle w:val="6"/>
        <w:numPr>
          <w:ilvl w:val="0"/>
          <w:numId w:val="0"/>
        </w:numPr>
        <w:shd w:val="clear" w:color="auto" w:fill="FFFFFF"/>
        <w:snapToGrid/>
        <w:spacing w:beforeLines="0" w:beforeAutospacing="0" w:afterLines="0" w:afterAutospacing="0" w:line="240" w:lineRule="auto"/>
        <w:rPr>
          <w:rFonts w:hint="default" w:ascii="Times New Roman" w:hAnsi="Times New Roman"/>
          <w:lang w:val="en-US" w:eastAsia="zh-CN"/>
        </w:rPr>
      </w:pPr>
      <w:r>
        <w:rPr>
          <w:rFonts w:hint="eastAsia" w:ascii="Times New Roman" w:hAnsi="Times New Roman" w:eastAsia="仿宋_GB2312" w:cs="Times New Roman"/>
          <w:color w:val="auto"/>
          <w:kern w:val="2"/>
          <w:sz w:val="32"/>
          <w:szCs w:val="32"/>
          <w:highlight w:val="none"/>
          <w:lang w:val="en-US" w:eastAsia="zh-CN"/>
        </w:rPr>
        <w:t xml:space="preserve">    </w:t>
      </w:r>
      <w:r>
        <w:rPr>
          <w:rFonts w:hint="eastAsia" w:ascii="Times New Roman" w:hAnsi="Times New Roman" w:eastAsia="仿宋_GB2312" w:cs="Times New Roman"/>
          <w:color w:val="auto"/>
          <w:kern w:val="2"/>
          <w:sz w:val="32"/>
          <w:szCs w:val="32"/>
          <w:highlight w:val="none"/>
          <w:lang w:eastAsia="zh-CN"/>
        </w:rPr>
        <w:t>结合本地</w:t>
      </w:r>
      <w:r>
        <w:rPr>
          <w:rFonts w:hint="default" w:ascii="Times New Roman" w:hAnsi="Times New Roman" w:eastAsia="仿宋_GB2312" w:cs="Times New Roman"/>
          <w:color w:val="auto"/>
          <w:kern w:val="2"/>
          <w:sz w:val="32"/>
          <w:szCs w:val="32"/>
          <w:highlight w:val="none"/>
          <w:lang w:eastAsia="zh-CN"/>
        </w:rPr>
        <w:t>实际，在重点任务范围内，梳理试点建设期内的重点建设项目，至少选择两个以上方向进行试点，形成</w:t>
      </w:r>
      <w:r>
        <w:rPr>
          <w:rFonts w:hint="eastAsia" w:ascii="Times New Roman" w:hAnsi="Times New Roman" w:eastAsia="仿宋_GB2312" w:cs="Times New Roman"/>
          <w:color w:val="auto"/>
          <w:kern w:val="2"/>
          <w:sz w:val="32"/>
          <w:szCs w:val="32"/>
          <w:highlight w:val="none"/>
          <w:lang w:val="en-US" w:eastAsia="zh-CN"/>
        </w:rPr>
        <w:t>两年</w:t>
      </w:r>
      <w:r>
        <w:rPr>
          <w:rFonts w:hint="default" w:ascii="Times New Roman" w:hAnsi="Times New Roman" w:eastAsia="仿宋_GB2312" w:cs="Times New Roman"/>
          <w:color w:val="auto"/>
          <w:kern w:val="2"/>
          <w:sz w:val="32"/>
          <w:szCs w:val="32"/>
          <w:highlight w:val="none"/>
          <w:lang w:eastAsia="zh-CN"/>
        </w:rPr>
        <w:t>建设项目清单。各地</w:t>
      </w:r>
      <w:r>
        <w:rPr>
          <w:rFonts w:hint="default" w:ascii="Times New Roman" w:hAnsi="Times New Roman" w:eastAsia="仿宋_GB2312" w:cs="Times New Roman"/>
          <w:color w:val="auto"/>
          <w:kern w:val="2"/>
          <w:sz w:val="32"/>
          <w:szCs w:val="32"/>
          <w:highlight w:val="none"/>
          <w:lang w:val="en" w:eastAsia="zh-CN"/>
        </w:rPr>
        <w:t>要充分考虑项目可行性、持续性</w:t>
      </w:r>
      <w:r>
        <w:rPr>
          <w:rFonts w:hint="default" w:ascii="Times New Roman" w:hAnsi="Times New Roman" w:eastAsia="仿宋_GB2312" w:cs="Times New Roman"/>
          <w:color w:val="auto"/>
          <w:kern w:val="2"/>
          <w:sz w:val="32"/>
          <w:szCs w:val="32"/>
          <w:highlight w:val="none"/>
          <w:lang w:eastAsia="zh-CN"/>
        </w:rPr>
        <w:t>，相关项目应在试点政策结束前完成</w:t>
      </w:r>
      <w:r>
        <w:rPr>
          <w:rFonts w:hint="eastAsia" w:ascii="Times New Roman" w:hAnsi="Times New Roman" w:eastAsia="仿宋_GB2312" w:cs="Times New Roman"/>
          <w:color w:val="auto"/>
          <w:kern w:val="2"/>
          <w:sz w:val="32"/>
          <w:szCs w:val="32"/>
          <w:highlight w:val="none"/>
          <w:lang w:eastAsia="zh-CN"/>
        </w:rPr>
        <w:t>，</w:t>
      </w:r>
      <w:r>
        <w:rPr>
          <w:rFonts w:hint="eastAsia" w:ascii="仿宋_GB2312" w:hAnsi="仿宋_GB2312" w:eastAsia="仿宋_GB2312" w:cs="仿宋_GB2312"/>
          <w:color w:val="auto"/>
          <w:spacing w:val="-2"/>
          <w:kern w:val="2"/>
          <w:sz w:val="32"/>
          <w:szCs w:val="32"/>
          <w:highlight w:val="none"/>
          <w:lang w:val="en-US" w:eastAsia="zh-CN" w:bidi="ar-SA"/>
        </w:rPr>
        <w:t>确保建设成效可量化、可评价、可考核</w:t>
      </w:r>
      <w:r>
        <w:rPr>
          <w:rFonts w:hint="default" w:ascii="Times New Roman" w:hAnsi="Times New Roman" w:eastAsia="仿宋_GB2312" w:cs="Times New Roman"/>
          <w:color w:val="auto"/>
          <w:kern w:val="2"/>
          <w:sz w:val="32"/>
          <w:szCs w:val="32"/>
          <w:highlight w:val="none"/>
          <w:lang w:eastAsia="zh-CN"/>
        </w:rPr>
        <w:t>。</w:t>
      </w:r>
      <w:r>
        <w:rPr>
          <w:rFonts w:hint="default" w:ascii="Times New Roman" w:hAnsi="Times New Roman" w:eastAsia="仿宋_GB2312" w:cs="Times New Roman"/>
          <w:color w:val="auto"/>
          <w:kern w:val="2"/>
          <w:sz w:val="32"/>
          <w:szCs w:val="32"/>
          <w:highlight w:val="none"/>
          <w:lang w:val="en-US" w:eastAsia="zh-CN"/>
        </w:rPr>
        <w:t>拟支持项目应明确项目名称、</w:t>
      </w:r>
      <w:r>
        <w:rPr>
          <w:rFonts w:hint="eastAsia" w:ascii="Times New Roman" w:hAnsi="Times New Roman" w:eastAsia="仿宋_GB2312" w:cs="Times New Roman"/>
          <w:color w:val="auto"/>
          <w:kern w:val="2"/>
          <w:sz w:val="32"/>
          <w:szCs w:val="32"/>
          <w:highlight w:val="none"/>
          <w:lang w:val="en-US" w:eastAsia="zh-CN"/>
        </w:rPr>
        <w:t>主要</w:t>
      </w:r>
      <w:r>
        <w:rPr>
          <w:rFonts w:hint="default" w:ascii="Times New Roman" w:hAnsi="Times New Roman" w:eastAsia="仿宋_GB2312" w:cs="Times New Roman"/>
          <w:color w:val="auto"/>
          <w:kern w:val="2"/>
          <w:sz w:val="32"/>
          <w:szCs w:val="32"/>
          <w:highlight w:val="none"/>
          <w:lang w:val="en-US" w:eastAsia="zh-CN"/>
        </w:rPr>
        <w:t>内容、预期目标、</w:t>
      </w:r>
      <w:r>
        <w:rPr>
          <w:rFonts w:hint="eastAsia" w:ascii="Times New Roman" w:hAnsi="Times New Roman" w:eastAsia="仿宋_GB2312" w:cs="Times New Roman"/>
          <w:color w:val="auto"/>
          <w:kern w:val="2"/>
          <w:sz w:val="32"/>
          <w:szCs w:val="32"/>
          <w:highlight w:val="none"/>
          <w:lang w:val="en-US" w:eastAsia="zh-CN"/>
        </w:rPr>
        <w:t>责任部门、实施地点、实施期限、投资</w:t>
      </w:r>
      <w:r>
        <w:rPr>
          <w:rFonts w:hint="default" w:ascii="Times New Roman" w:hAnsi="Times New Roman" w:eastAsia="仿宋_GB2312" w:cs="Times New Roman"/>
          <w:color w:val="auto"/>
          <w:kern w:val="2"/>
          <w:sz w:val="32"/>
          <w:szCs w:val="32"/>
          <w:highlight w:val="none"/>
          <w:lang w:val="en-US" w:eastAsia="zh-CN"/>
        </w:rPr>
        <w:t>主体、实际投资</w:t>
      </w:r>
      <w:r>
        <w:rPr>
          <w:rFonts w:hint="eastAsia" w:ascii="Times New Roman" w:hAnsi="Times New Roman" w:eastAsia="仿宋_GB2312" w:cs="Times New Roman"/>
          <w:color w:val="auto"/>
          <w:kern w:val="2"/>
          <w:sz w:val="32"/>
          <w:szCs w:val="32"/>
          <w:highlight w:val="none"/>
          <w:lang w:val="en-US" w:eastAsia="zh-CN"/>
        </w:rPr>
        <w:t>规模</w:t>
      </w:r>
      <w:r>
        <w:rPr>
          <w:rFonts w:hint="default" w:ascii="Times New Roman" w:hAnsi="Times New Roman" w:eastAsia="仿宋_GB2312" w:cs="Times New Roman"/>
          <w:color w:val="auto"/>
          <w:kern w:val="2"/>
          <w:sz w:val="32"/>
          <w:szCs w:val="32"/>
          <w:highlight w:val="none"/>
          <w:lang w:val="en-US" w:eastAsia="zh-CN"/>
        </w:rPr>
        <w:t>、</w:t>
      </w:r>
      <w:r>
        <w:rPr>
          <w:rFonts w:hint="eastAsia" w:ascii="Times New Roman" w:hAnsi="Times New Roman" w:eastAsia="仿宋_GB2312" w:cs="Times New Roman"/>
          <w:color w:val="auto"/>
          <w:kern w:val="2"/>
          <w:sz w:val="32"/>
          <w:szCs w:val="32"/>
          <w:highlight w:val="none"/>
          <w:lang w:val="en-US" w:eastAsia="zh-CN"/>
        </w:rPr>
        <w:t>资金来源、</w:t>
      </w:r>
      <w:r>
        <w:rPr>
          <w:rFonts w:hint="default" w:ascii="Times New Roman" w:hAnsi="Times New Roman" w:eastAsia="仿宋_GB2312" w:cs="Times New Roman"/>
          <w:color w:val="auto"/>
          <w:kern w:val="2"/>
          <w:sz w:val="32"/>
          <w:szCs w:val="32"/>
          <w:highlight w:val="none"/>
          <w:lang w:val="en-US" w:eastAsia="zh-CN"/>
        </w:rPr>
        <w:t>拟给予财政补助的方式及金额、建成后运营计划等具体信息。</w:t>
      </w:r>
    </w:p>
    <w:p w14:paraId="4B12C504">
      <w:pPr>
        <w:pStyle w:val="3"/>
        <w:bidi w:val="0"/>
        <w:snapToGrid/>
        <w:spacing w:line="240" w:lineRule="auto"/>
        <w:rPr>
          <w:rFonts w:hint="eastAsia" w:ascii="Times New Roman" w:hAnsi="Times New Roman"/>
          <w:lang w:eastAsia="zh-CN"/>
        </w:rPr>
      </w:pPr>
      <w:r>
        <w:rPr>
          <w:rFonts w:hint="eastAsia" w:ascii="Times New Roman" w:hAnsi="Times New Roman"/>
          <w:lang w:eastAsia="zh-CN"/>
        </w:rPr>
        <w:t>五、保障措施</w:t>
      </w:r>
    </w:p>
    <w:p w14:paraId="3766817C">
      <w:pPr>
        <w:bidi w:val="0"/>
        <w:snapToGrid/>
        <w:spacing w:beforeLines="0" w:afterLines="0" w:line="240" w:lineRule="auto"/>
        <w:rPr>
          <w:rFonts w:hint="eastAsia" w:ascii="仿宋_GB2312" w:hAnsi="仿宋_GB2312" w:eastAsia="仿宋_GB2312" w:cs="仿宋_GB2312"/>
          <w:color w:val="auto"/>
          <w:spacing w:val="-2"/>
          <w:kern w:val="2"/>
          <w:sz w:val="32"/>
          <w:szCs w:val="32"/>
          <w:highlight w:val="none"/>
          <w:lang w:val="en-US" w:eastAsia="zh-CN" w:bidi="ar-SA"/>
        </w:rPr>
      </w:pPr>
      <w:r>
        <w:rPr>
          <w:rFonts w:hint="eastAsia" w:ascii="仿宋_GB2312" w:hAnsi="仿宋_GB2312" w:eastAsia="仿宋_GB2312" w:cs="仿宋_GB2312"/>
          <w:color w:val="auto"/>
          <w:spacing w:val="-2"/>
          <w:kern w:val="2"/>
          <w:sz w:val="32"/>
          <w:szCs w:val="32"/>
          <w:highlight w:val="none"/>
          <w:lang w:val="en-US" w:eastAsia="zh-CN" w:bidi="ar-SA"/>
        </w:rPr>
        <w:t>从组织领导、政策保障、管理机制、资金筹措、监督检查、后期管理等方面</w:t>
      </w:r>
      <w:r>
        <w:rPr>
          <w:rFonts w:hint="default" w:ascii="仿宋_GB2312" w:hAnsi="仿宋_GB2312" w:eastAsia="仿宋_GB2312" w:cs="仿宋_GB2312"/>
          <w:color w:val="auto"/>
          <w:spacing w:val="-2"/>
          <w:kern w:val="2"/>
          <w:sz w:val="32"/>
          <w:szCs w:val="32"/>
          <w:highlight w:val="none"/>
          <w:lang w:val="en" w:eastAsia="zh-CN" w:bidi="ar-SA"/>
        </w:rPr>
        <w:t>，</w:t>
      </w:r>
      <w:r>
        <w:rPr>
          <w:rFonts w:hint="eastAsia" w:ascii="仿宋_GB2312" w:hAnsi="仿宋_GB2312" w:eastAsia="仿宋_GB2312" w:cs="仿宋_GB2312"/>
          <w:color w:val="auto"/>
          <w:spacing w:val="-2"/>
          <w:kern w:val="2"/>
          <w:sz w:val="32"/>
          <w:szCs w:val="32"/>
          <w:highlight w:val="none"/>
          <w:lang w:val="en-US" w:eastAsia="zh-CN" w:bidi="ar-SA"/>
        </w:rPr>
        <w:t>说明拟采取的保障措施。</w:t>
      </w:r>
    </w:p>
    <w:p w14:paraId="5696165A">
      <w:pPr>
        <w:bidi w:val="0"/>
        <w:snapToGrid/>
        <w:spacing w:beforeLines="0" w:afterLines="0" w:line="240" w:lineRule="auto"/>
        <w:rPr>
          <w:rFonts w:hint="eastAsia" w:ascii="Times New Roman" w:hAnsi="Times New Roman"/>
          <w:lang w:eastAsia="zh-CN"/>
        </w:rPr>
      </w:pPr>
      <w:r>
        <w:rPr>
          <w:rStyle w:val="10"/>
          <w:rFonts w:hint="eastAsia" w:ascii="Times New Roman" w:hAnsi="Times New Roman"/>
          <w:lang w:eastAsia="zh-CN"/>
        </w:rPr>
        <w:t>（一）组织领导机制。</w:t>
      </w:r>
      <w:r>
        <w:rPr>
          <w:rFonts w:hint="eastAsia" w:ascii="Times New Roman" w:hAnsi="Times New Roman"/>
          <w:lang w:eastAsia="zh-CN"/>
        </w:rPr>
        <w:t>发挥省级部门统筹作用和试点城市党委政府组织领导优势，建立负责同志牵头、多部门统筹协调机制，包括但不限于牵头人、</w:t>
      </w:r>
      <w:r>
        <w:rPr>
          <w:rFonts w:hint="eastAsia" w:ascii="仿宋_GB2312" w:hAnsi="仿宋_GB2312" w:eastAsia="仿宋_GB2312" w:cs="仿宋_GB2312"/>
          <w:color w:val="auto"/>
          <w:spacing w:val="-2"/>
          <w:kern w:val="2"/>
          <w:sz w:val="32"/>
          <w:szCs w:val="32"/>
          <w:highlight w:val="none"/>
          <w:lang w:val="en-US" w:eastAsia="zh-CN" w:bidi="ar-SA"/>
        </w:rPr>
        <w:t>牵头部门、参与部门、</w:t>
      </w:r>
      <w:r>
        <w:rPr>
          <w:rFonts w:hint="eastAsia" w:ascii="Times New Roman" w:hAnsi="Times New Roman"/>
          <w:lang w:eastAsia="zh-CN"/>
        </w:rPr>
        <w:t>日常调度等情况。</w:t>
      </w:r>
    </w:p>
    <w:p w14:paraId="519F6874">
      <w:pPr>
        <w:bidi w:val="0"/>
        <w:snapToGrid/>
        <w:spacing w:beforeLines="0" w:afterLines="0" w:line="240" w:lineRule="auto"/>
        <w:rPr>
          <w:rFonts w:hint="default" w:ascii="Times New Roman" w:hAnsi="Times New Roman"/>
          <w:lang w:val="en-US" w:eastAsia="zh-CN"/>
        </w:rPr>
      </w:pPr>
      <w:r>
        <w:rPr>
          <w:rStyle w:val="10"/>
          <w:rFonts w:hint="eastAsia" w:ascii="Times New Roman" w:hAnsi="Times New Roman"/>
          <w:lang w:eastAsia="zh-CN"/>
        </w:rPr>
        <w:t>（二）资金管理制度。</w:t>
      </w:r>
      <w:r>
        <w:rPr>
          <w:rFonts w:hint="eastAsia" w:ascii="Times New Roman" w:hAnsi="Times New Roman"/>
          <w:lang w:eastAsia="zh-CN"/>
        </w:rPr>
        <w:t>省市两级结合中央财政资金管理规定和试点申报通知要求，建立资金管理制度有关内容。包括但不限于以下方面：细化试点资金管理办法，</w:t>
      </w:r>
      <w:r>
        <w:rPr>
          <w:rFonts w:hint="eastAsia" w:ascii="Times New Roman" w:hAnsi="Times New Roman"/>
          <w:lang w:val="en-US" w:eastAsia="zh-CN"/>
        </w:rPr>
        <w:t>结合本地实际，合理确定支持标准，明确支持重点、建设内容、后续运营管理要求等；</w:t>
      </w:r>
      <w:r>
        <w:rPr>
          <w:rFonts w:hint="eastAsia" w:ascii="Times New Roman" w:hAnsi="Times New Roman"/>
          <w:lang w:eastAsia="zh-CN"/>
        </w:rPr>
        <w:t>建立绩效评价指标体系和试点验收办法；加强资金动态监管，对资金使用中发现的违规、长期闲置等问题，及时纠正或按规定收回；</w:t>
      </w:r>
      <w:r>
        <w:rPr>
          <w:rFonts w:hint="eastAsia" w:ascii="Times New Roman" w:hAnsi="Times New Roman"/>
          <w:lang w:val="en-US" w:eastAsia="zh-CN"/>
        </w:rPr>
        <w:t>加强资金统筹集约使用，合理加快预算执行进度，提高项目的可持续性。</w:t>
      </w:r>
    </w:p>
    <w:p w14:paraId="56E57108">
      <w:pPr>
        <w:bidi w:val="0"/>
        <w:snapToGrid/>
        <w:spacing w:beforeLines="0" w:afterLines="0" w:line="240" w:lineRule="auto"/>
        <w:jc w:val="left"/>
        <w:rPr>
          <w:rFonts w:hint="eastAsia" w:ascii="Times New Roman" w:hAnsi="Times New Roman"/>
          <w:lang w:eastAsia="zh-CN"/>
        </w:rPr>
      </w:pPr>
      <w:r>
        <w:rPr>
          <w:rStyle w:val="10"/>
          <w:rFonts w:hint="eastAsia" w:ascii="Times New Roman" w:hAnsi="Times New Roman"/>
          <w:lang w:eastAsia="zh-CN"/>
        </w:rPr>
        <w:t>（三）项目监管机制。</w:t>
      </w:r>
      <w:r>
        <w:rPr>
          <w:rStyle w:val="10"/>
          <w:rFonts w:hint="eastAsia" w:ascii="Times New Roman" w:hAnsi="Times New Roman" w:eastAsia="仿宋_GB2312" w:cs="仿宋_GB2312"/>
          <w:b w:val="0"/>
          <w:bCs/>
          <w:lang w:eastAsia="zh-CN"/>
        </w:rPr>
        <w:t>省市两级建立项目监管机制有关内容，</w:t>
      </w:r>
      <w:r>
        <w:rPr>
          <w:rFonts w:hint="eastAsia" w:ascii="Times New Roman" w:hAnsi="Times New Roman"/>
          <w:lang w:eastAsia="zh-CN"/>
        </w:rPr>
        <w:t>包括但不限于以下方面：省级部门指导试点城市完善项目立项、资金拨付、项目验收等管理制度，明确项目选择依据，履行集体决策、公开公示等程序；建立省市区（县）日常监督机制，明确日常监管责任主体、频次、范围等具体要求；引入审计、监理咨询等第三方机构，规范重大决策过程，加强资金和项目审核。</w:t>
      </w:r>
    </w:p>
    <w:p w14:paraId="15E85964">
      <w:pPr>
        <w:bidi w:val="0"/>
        <w:snapToGrid/>
        <w:spacing w:beforeLines="0" w:afterLines="0" w:line="240" w:lineRule="auto"/>
        <w:ind w:firstLine="640" w:firstLineChars="0"/>
        <w:rPr>
          <w:rFonts w:hint="eastAsia" w:ascii="Times New Roman" w:hAnsi="Times New Roman"/>
          <w:lang w:eastAsia="zh-CN"/>
        </w:rPr>
      </w:pPr>
      <w:r>
        <w:rPr>
          <w:rStyle w:val="10"/>
          <w:rFonts w:hint="eastAsia" w:ascii="Times New Roman" w:hAnsi="Times New Roman"/>
          <w:lang w:eastAsia="zh-CN"/>
        </w:rPr>
        <w:t>（四）其他保障措施。</w:t>
      </w:r>
      <w:r>
        <w:rPr>
          <w:rFonts w:hint="eastAsia" w:ascii="Times New Roman" w:hAnsi="Times New Roman"/>
          <w:lang w:eastAsia="zh-CN"/>
        </w:rPr>
        <w:t>省级部门指导试点城市结合前期消费促进工作，从规划引领、政策</w:t>
      </w:r>
      <w:r>
        <w:rPr>
          <w:rFonts w:hint="default" w:ascii="Times New Roman" w:hAnsi="Times New Roman"/>
          <w:lang w:val="en" w:eastAsia="zh-CN"/>
        </w:rPr>
        <w:t>措施</w:t>
      </w:r>
      <w:r>
        <w:rPr>
          <w:rFonts w:hint="eastAsia" w:ascii="Times New Roman" w:hAnsi="Times New Roman"/>
          <w:lang w:eastAsia="zh-CN"/>
        </w:rPr>
        <w:t>、要素保障、总结宣传等多方面提出其他保障措施。</w:t>
      </w:r>
      <w:r>
        <w:rPr>
          <w:rFonts w:hint="eastAsia" w:ascii="Times New Roman" w:hAnsi="Times New Roman"/>
          <w:lang w:val="en-US" w:eastAsia="zh-CN"/>
        </w:rPr>
        <w:t xml:space="preserve"> </w:t>
      </w:r>
      <w:r>
        <w:rPr>
          <w:rFonts w:hint="eastAsia" w:ascii="仿宋_GB2312" w:hAnsi="仿宋_GB2312" w:cs="仿宋_GB2312"/>
          <w:sz w:val="30"/>
          <w:szCs w:val="30"/>
          <w:lang w:val="en-US" w:eastAsia="zh-CN"/>
        </w:rPr>
        <w:t xml:space="preserve"> </w:t>
      </w:r>
    </w:p>
    <w:p w14:paraId="31537D2F">
      <w:bookmarkStart w:id="0" w:name="_GoBack"/>
      <w:bookmarkEnd w:id="0"/>
    </w:p>
    <w:sectPr>
      <w:footerReference r:id="rId5" w:type="default"/>
      <w:pgSz w:w="11906" w:h="16838"/>
      <w:pgMar w:top="1440" w:right="1800" w:bottom="1440" w:left="180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BEDBC1">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C70C64C">
                          <w:pPr>
                            <w:pStyle w:val="5"/>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4C70C64C">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7D7D15"/>
    <w:multiLevelType w:val="singleLevel"/>
    <w:tmpl w:val="BD7D7D1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FC29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napToGrid w:val="0"/>
      <w:spacing w:line="360" w:lineRule="auto"/>
      <w:ind w:firstLine="720" w:firstLineChars="200"/>
      <w:jc w:val="both"/>
    </w:pPr>
    <w:rPr>
      <w:rFonts w:ascii="Calibri" w:hAnsi="Calibri" w:eastAsia="仿宋_GB2312" w:cs="Times New Roman"/>
      <w:kern w:val="2"/>
      <w:sz w:val="32"/>
      <w:szCs w:val="24"/>
      <w:lang w:val="en-US" w:eastAsia="zh-CN" w:bidi="ar-SA"/>
    </w:rPr>
  </w:style>
  <w:style w:type="paragraph" w:styleId="3">
    <w:name w:val="heading 1"/>
    <w:basedOn w:val="1"/>
    <w:next w:val="1"/>
    <w:qFormat/>
    <w:uiPriority w:val="0"/>
    <w:pPr>
      <w:keepNext/>
      <w:keepLines/>
      <w:adjustRightInd w:val="0"/>
      <w:snapToGrid w:val="0"/>
      <w:spacing w:beforeLines="0" w:beforeAutospacing="0" w:afterLines="0" w:afterAutospacing="0" w:line="360" w:lineRule="auto"/>
      <w:ind w:firstLine="420" w:firstLineChars="200"/>
      <w:outlineLvl w:val="0"/>
    </w:pPr>
    <w:rPr>
      <w:rFonts w:eastAsia="黑体"/>
      <w:kern w:val="44"/>
    </w:rPr>
  </w:style>
  <w:style w:type="paragraph" w:styleId="2">
    <w:name w:val="heading 2"/>
    <w:basedOn w:val="1"/>
    <w:next w:val="1"/>
    <w:link w:val="10"/>
    <w:unhideWhenUsed/>
    <w:qFormat/>
    <w:uiPriority w:val="0"/>
    <w:pPr>
      <w:keepNext/>
      <w:keepLines/>
      <w:adjustRightInd w:val="0"/>
      <w:snapToGrid w:val="0"/>
      <w:spacing w:beforeLines="0" w:beforeAutospacing="0" w:afterLines="0" w:afterAutospacing="0" w:line="360" w:lineRule="auto"/>
      <w:ind w:firstLine="720" w:firstLineChars="200"/>
      <w:outlineLvl w:val="1"/>
    </w:pPr>
    <w:rPr>
      <w:rFonts w:ascii="Arial" w:hAnsi="Arial" w:eastAsia="楷体_GB2312"/>
      <w:b/>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after="120"/>
    </w:p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9">
    <w:name w:val="大标题"/>
    <w:basedOn w:val="1"/>
    <w:qFormat/>
    <w:uiPriority w:val="0"/>
    <w:pPr>
      <w:adjustRightInd w:val="0"/>
      <w:snapToGrid w:val="0"/>
      <w:spacing w:before="100" w:beforeLines="100" w:after="100" w:afterLines="100" w:line="360" w:lineRule="auto"/>
      <w:ind w:firstLine="0" w:firstLineChars="0"/>
      <w:jc w:val="center"/>
    </w:pPr>
    <w:rPr>
      <w:rFonts w:eastAsia="方正小标宋简体"/>
      <w:sz w:val="36"/>
    </w:rPr>
  </w:style>
  <w:style w:type="character" w:customStyle="1" w:styleId="10">
    <w:name w:val="标题 2 Char"/>
    <w:link w:val="2"/>
    <w:qFormat/>
    <w:uiPriority w:val="0"/>
    <w:rPr>
      <w:rFonts w:ascii="Arial" w:hAnsi="Arial" w:eastAsia="楷体_GB2312"/>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2025-10-01T12:49:24Z</dcterms:created>
  <dc:creator>Administrator</dc:creator>
  <cp:lastModifiedBy>GIT-大Ju</cp:lastModifiedBy>
  <dcterms:modified xsi:type="dcterms:W3CDTF">2025-10-01T12:49:27Z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eyJoZGlkIjoiMjIyOGJhYmFkYTQ4NzlkZDJjMzhlYjFhZmRiNDFjYmEiLCJ1c2VySWQiOiIzODgyNzIyMDEifQ==</vt:lpwstr>
  </property>
  <property fmtid="{D5CDD505-2E9C-101B-9397-08002B2CF9AE}" pid="4" name="ICV">
    <vt:lpwstr>A913F9F091C447D99003E30B9612198E_12</vt:lpwstr>
  </property>
</Properties>
</file>