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rPr>
      </w:pPr>
      <w:r>
        <w:rPr>
          <w:rFonts w:hint="eastAsia" w:ascii="黑体" w:hAnsi="黑体" w:eastAsia="黑体" w:cs="Times New Roman"/>
          <w:sz w:val="32"/>
          <w:szCs w:val="32"/>
        </w:rPr>
        <w:t>附件1本</w:t>
      </w:r>
      <w:r>
        <w:rPr>
          <w:rFonts w:hint="default" w:ascii="黑体" w:hAnsi="黑体" w:eastAsia="黑体" w:cs="Times New Roman"/>
          <w:sz w:val="32"/>
          <w:szCs w:val="32"/>
          <w:lang w:val="en-US"/>
        </w:rPr>
        <w:t>地区</w:t>
      </w:r>
      <w:r>
        <w:rPr>
          <w:rFonts w:hint="eastAsia" w:ascii="黑体" w:hAnsi="黑体" w:eastAsia="黑体" w:cs="Times New Roman"/>
          <w:sz w:val="32"/>
          <w:szCs w:val="32"/>
        </w:rPr>
        <w:t>新能源清洁能源船舶发展和运营情况调研提纲</w:t>
      </w:r>
    </w:p>
    <w:p>
      <w:pPr>
        <w:numPr>
          <w:ilvl w:val="0"/>
          <w:numId w:val="1"/>
        </w:numPr>
        <w:jc w:val="left"/>
        <w:rPr>
          <w:rFonts w:ascii="仿宋" w:hAnsi="仿宋" w:eastAsia="仿宋" w:cs="仿宋"/>
          <w:sz w:val="32"/>
          <w:szCs w:val="32"/>
        </w:rPr>
      </w:pPr>
      <w:bookmarkStart w:id="0" w:name="_Hlk132884347"/>
      <w:r>
        <w:rPr>
          <w:rFonts w:hint="eastAsia" w:ascii="仿宋" w:hAnsi="仿宋" w:eastAsia="仿宋" w:cs="仿宋"/>
          <w:sz w:val="32"/>
          <w:szCs w:val="32"/>
        </w:rPr>
        <w:t>本省（</w:t>
      </w:r>
      <w:r>
        <w:rPr>
          <w:rFonts w:hint="eastAsia" w:ascii="仿宋" w:hAnsi="仿宋" w:eastAsia="仿宋" w:cs="仿宋"/>
          <w:sz w:val="32"/>
          <w:szCs w:val="32"/>
          <w:lang w:eastAsia="zh-CN"/>
        </w:rPr>
        <w:t>区、</w:t>
      </w:r>
      <w:r>
        <w:rPr>
          <w:rFonts w:hint="eastAsia" w:ascii="仿宋" w:hAnsi="仿宋" w:eastAsia="仿宋" w:cs="仿宋"/>
          <w:sz w:val="32"/>
          <w:szCs w:val="32"/>
        </w:rPr>
        <w:t>市）</w:t>
      </w:r>
      <w:r>
        <w:rPr>
          <w:rFonts w:hint="eastAsia" w:ascii="仿宋" w:hAnsi="仿宋" w:eastAsia="仿宋" w:cs="仿宋"/>
          <w:sz w:val="32"/>
          <w:szCs w:val="32"/>
          <w:lang w:eastAsia="zh-CN"/>
        </w:rPr>
        <w:t>出台的推动</w:t>
      </w:r>
      <w:r>
        <w:rPr>
          <w:rFonts w:hint="eastAsia" w:ascii="仿宋" w:hAnsi="仿宋" w:eastAsia="仿宋" w:cs="仿宋"/>
          <w:sz w:val="32"/>
          <w:szCs w:val="32"/>
        </w:rPr>
        <w:t>新能源清洁能源船舶发展的</w:t>
      </w:r>
      <w:r>
        <w:rPr>
          <w:rFonts w:hint="eastAsia" w:ascii="仿宋" w:hAnsi="仿宋" w:eastAsia="仿宋" w:cs="仿宋"/>
          <w:sz w:val="32"/>
          <w:szCs w:val="32"/>
          <w:lang w:eastAsia="zh-CN"/>
        </w:rPr>
        <w:t>文件及相关</w:t>
      </w:r>
      <w:r>
        <w:rPr>
          <w:rFonts w:hint="eastAsia" w:ascii="仿宋" w:hAnsi="仿宋" w:eastAsia="仿宋" w:cs="仿宋"/>
          <w:sz w:val="32"/>
          <w:szCs w:val="32"/>
        </w:rPr>
        <w:t>政策；</w:t>
      </w:r>
      <w:bookmarkEnd w:id="0"/>
    </w:p>
    <w:p>
      <w:pPr>
        <w:numPr>
          <w:ilvl w:val="0"/>
          <w:numId w:val="1"/>
        </w:numPr>
        <w:jc w:val="left"/>
        <w:rPr>
          <w:rFonts w:ascii="仿宋" w:hAnsi="仿宋" w:eastAsia="仿宋" w:cs="仿宋"/>
          <w:sz w:val="32"/>
          <w:szCs w:val="32"/>
        </w:rPr>
      </w:pPr>
      <w:bookmarkStart w:id="1" w:name="_Hlk132884526"/>
      <w:r>
        <w:rPr>
          <w:rFonts w:hint="eastAsia" w:ascii="仿宋" w:hAnsi="仿宋" w:eastAsia="仿宋" w:cs="仿宋"/>
          <w:sz w:val="32"/>
          <w:szCs w:val="32"/>
        </w:rPr>
        <w:t>本省（</w:t>
      </w:r>
      <w:r>
        <w:rPr>
          <w:rFonts w:hint="eastAsia" w:ascii="仿宋" w:hAnsi="仿宋" w:eastAsia="仿宋" w:cs="仿宋"/>
          <w:sz w:val="32"/>
          <w:szCs w:val="32"/>
          <w:lang w:eastAsia="zh-CN"/>
        </w:rPr>
        <w:t>区、</w:t>
      </w:r>
      <w:r>
        <w:rPr>
          <w:rFonts w:hint="eastAsia" w:ascii="仿宋" w:hAnsi="仿宋" w:eastAsia="仿宋" w:cs="仿宋"/>
          <w:sz w:val="32"/>
          <w:szCs w:val="32"/>
        </w:rPr>
        <w:t>市）新能源清洁能源船舶发展</w:t>
      </w:r>
      <w:bookmarkEnd w:id="1"/>
      <w:r>
        <w:rPr>
          <w:rFonts w:hint="eastAsia" w:ascii="仿宋" w:hAnsi="仿宋" w:eastAsia="仿宋" w:cs="仿宋"/>
          <w:sz w:val="32"/>
          <w:szCs w:val="32"/>
        </w:rPr>
        <w:t>现状</w:t>
      </w:r>
      <w:r>
        <w:rPr>
          <w:rFonts w:hint="eastAsia" w:ascii="仿宋" w:hAnsi="仿宋" w:eastAsia="仿宋" w:cs="仿宋"/>
          <w:sz w:val="32"/>
          <w:szCs w:val="32"/>
          <w:lang w:eastAsia="zh-CN"/>
        </w:rPr>
        <w:t>、存在问题及原因和</w:t>
      </w:r>
      <w:r>
        <w:rPr>
          <w:rFonts w:hint="eastAsia" w:ascii="仿宋" w:hAnsi="仿宋" w:eastAsia="仿宋" w:cs="仿宋"/>
          <w:sz w:val="32"/>
          <w:szCs w:val="32"/>
        </w:rPr>
        <w:t>下一步</w:t>
      </w:r>
      <w:r>
        <w:rPr>
          <w:rFonts w:hint="eastAsia" w:ascii="仿宋" w:hAnsi="仿宋" w:eastAsia="仿宋" w:cs="仿宋"/>
          <w:sz w:val="32"/>
          <w:szCs w:val="32"/>
          <w:lang w:eastAsia="zh-CN"/>
        </w:rPr>
        <w:t>计划等</w:t>
      </w:r>
      <w:r>
        <w:rPr>
          <w:rFonts w:hint="eastAsia" w:ascii="仿宋" w:hAnsi="仿宋" w:eastAsia="仿宋" w:cs="仿宋"/>
          <w:sz w:val="32"/>
          <w:szCs w:val="32"/>
        </w:rPr>
        <w:t>；</w:t>
      </w:r>
    </w:p>
    <w:p>
      <w:pPr>
        <w:numPr>
          <w:ilvl w:val="0"/>
          <w:numId w:val="1"/>
        </w:numPr>
        <w:jc w:val="left"/>
        <w:rPr>
          <w:rFonts w:ascii="仿宋" w:hAnsi="仿宋" w:eastAsia="仿宋" w:cs="仿宋"/>
          <w:sz w:val="32"/>
          <w:szCs w:val="32"/>
        </w:rPr>
      </w:pPr>
      <w:r>
        <w:rPr>
          <w:rFonts w:hint="eastAsia" w:ascii="仿宋" w:hAnsi="仿宋" w:eastAsia="仿宋" w:cs="仿宋"/>
          <w:sz w:val="32"/>
          <w:szCs w:val="32"/>
        </w:rPr>
        <w:t>本省（</w:t>
      </w:r>
      <w:r>
        <w:rPr>
          <w:rFonts w:hint="eastAsia" w:ascii="仿宋" w:hAnsi="仿宋" w:eastAsia="仿宋" w:cs="仿宋"/>
          <w:sz w:val="32"/>
          <w:szCs w:val="32"/>
          <w:lang w:eastAsia="zh-CN"/>
        </w:rPr>
        <w:t>区、</w:t>
      </w:r>
      <w:r>
        <w:rPr>
          <w:rFonts w:hint="eastAsia" w:ascii="仿宋" w:hAnsi="仿宋" w:eastAsia="仿宋" w:cs="仿宋"/>
          <w:sz w:val="32"/>
          <w:szCs w:val="32"/>
        </w:rPr>
        <w:t>市）新能源清洁能源船舶配套基础设施</w:t>
      </w:r>
      <w:r>
        <w:rPr>
          <w:rFonts w:hint="eastAsia" w:ascii="仿宋" w:hAnsi="仿宋" w:eastAsia="仿宋" w:cs="仿宋"/>
          <w:sz w:val="32"/>
          <w:szCs w:val="32"/>
          <w:lang w:eastAsia="zh-CN"/>
        </w:rPr>
        <w:t>（加注设施、充电及换电设施等）、能源供应的</w:t>
      </w:r>
      <w:r>
        <w:rPr>
          <w:rFonts w:hint="eastAsia" w:ascii="仿宋" w:hAnsi="仿宋" w:eastAsia="仿宋" w:cs="仿宋"/>
          <w:sz w:val="32"/>
          <w:szCs w:val="32"/>
        </w:rPr>
        <w:t>现状</w:t>
      </w:r>
      <w:r>
        <w:rPr>
          <w:rFonts w:hint="eastAsia" w:ascii="仿宋" w:hAnsi="仿宋" w:eastAsia="仿宋" w:cs="仿宋"/>
          <w:sz w:val="32"/>
          <w:szCs w:val="32"/>
          <w:lang w:eastAsia="zh-CN"/>
        </w:rPr>
        <w:t>和布局</w:t>
      </w:r>
      <w:r>
        <w:rPr>
          <w:rFonts w:hint="eastAsia" w:ascii="仿宋" w:hAnsi="仿宋" w:eastAsia="仿宋" w:cs="仿宋"/>
          <w:sz w:val="32"/>
          <w:szCs w:val="32"/>
        </w:rPr>
        <w:t>规划情况</w:t>
      </w:r>
      <w:r>
        <w:rPr>
          <w:rFonts w:hint="eastAsia" w:ascii="仿宋" w:hAnsi="仿宋" w:eastAsia="仿宋" w:cs="仿宋"/>
          <w:sz w:val="32"/>
          <w:szCs w:val="32"/>
          <w:lang w:eastAsia="zh-CN"/>
        </w:rPr>
        <w:t>；</w:t>
      </w:r>
    </w:p>
    <w:p>
      <w:pPr>
        <w:numPr>
          <w:ilvl w:val="0"/>
          <w:numId w:val="1"/>
        </w:numPr>
        <w:jc w:val="left"/>
        <w:rPr>
          <w:rFonts w:ascii="仿宋" w:hAnsi="仿宋" w:eastAsia="仿宋" w:cs="仿宋"/>
          <w:sz w:val="32"/>
          <w:szCs w:val="32"/>
        </w:rPr>
      </w:pPr>
      <w:r>
        <w:rPr>
          <w:rFonts w:hint="eastAsia" w:ascii="仿宋" w:hAnsi="仿宋" w:eastAsia="仿宋" w:cs="仿宋"/>
          <w:sz w:val="32"/>
          <w:szCs w:val="32"/>
          <w:lang w:eastAsia="zh-CN"/>
        </w:rPr>
        <w:t>有关意见建议。</w:t>
      </w:r>
    </w:p>
    <w:p>
      <w:pPr>
        <w:widowControl/>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highlight w:val="yellow"/>
        </w:rPr>
      </w:pPr>
    </w:p>
    <w:p>
      <w:pPr>
        <w:widowControl/>
        <w:ind w:firstLine="640" w:firstLineChars="200"/>
        <w:jc w:val="left"/>
        <w:rPr>
          <w:rFonts w:ascii="仿宋" w:hAnsi="仿宋" w:eastAsia="仿宋" w:cs="仿宋"/>
          <w:sz w:val="32"/>
          <w:szCs w:val="32"/>
        </w:rPr>
        <w:sectPr>
          <w:pgSz w:w="11906" w:h="16838"/>
          <w:pgMar w:top="1440" w:right="1800" w:bottom="1440" w:left="1800" w:header="851" w:footer="992" w:gutter="0"/>
          <w:cols w:space="720" w:num="1"/>
          <w:docGrid w:type="lines" w:linePitch="312" w:charSpace="0"/>
        </w:sectPr>
      </w:pPr>
    </w:p>
    <w:p>
      <w:pPr>
        <w:widowControl/>
        <w:jc w:val="left"/>
        <w:rPr>
          <w:rFonts w:ascii="黑体" w:hAnsi="黑体" w:eastAsia="黑体" w:cs="Times New Roman"/>
          <w:sz w:val="32"/>
          <w:szCs w:val="32"/>
        </w:rPr>
      </w:pPr>
      <w:bookmarkStart w:id="2" w:name="_Hlk132885073"/>
      <w:r>
        <w:rPr>
          <w:rFonts w:hint="eastAsia" w:ascii="黑体" w:hAnsi="黑体" w:eastAsia="黑体" w:cs="Times New Roman"/>
          <w:sz w:val="32"/>
          <w:szCs w:val="32"/>
        </w:rPr>
        <w:t>附件2</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本地区新能源清洁能源船舶情况调查表</w:t>
      </w:r>
    </w:p>
    <w:tbl>
      <w:tblPr>
        <w:tblStyle w:val="3"/>
        <w:tblW w:w="141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25"/>
        <w:gridCol w:w="1157"/>
        <w:gridCol w:w="945"/>
        <w:gridCol w:w="945"/>
        <w:gridCol w:w="945"/>
        <w:gridCol w:w="2000"/>
        <w:gridCol w:w="1157"/>
        <w:gridCol w:w="1157"/>
        <w:gridCol w:w="1472"/>
        <w:gridCol w:w="147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618"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序号</w:t>
            </w:r>
          </w:p>
        </w:tc>
        <w:tc>
          <w:tcPr>
            <w:tcW w:w="825" w:type="dxa"/>
            <w:noWrap w:val="0"/>
            <w:vAlign w:val="center"/>
          </w:tcPr>
          <w:p>
            <w:pPr>
              <w:jc w:val="center"/>
              <w:rPr>
                <w:rFonts w:hint="default" w:ascii="黑体" w:hAnsi="黑体" w:eastAsia="黑体" w:cs="黑体"/>
                <w:b w:val="0"/>
                <w:bCs w:val="0"/>
                <w:sz w:val="24"/>
                <w:lang w:val="en-US" w:eastAsia="zh-CN"/>
              </w:rPr>
            </w:pPr>
            <w:r>
              <w:rPr>
                <w:rFonts w:hint="eastAsia" w:ascii="黑体" w:hAnsi="黑体" w:eastAsia="黑体" w:cs="黑体"/>
                <w:b w:val="0"/>
                <w:bCs w:val="0"/>
                <w:sz w:val="24"/>
              </w:rPr>
              <w:t>船名</w:t>
            </w:r>
          </w:p>
        </w:tc>
        <w:tc>
          <w:tcPr>
            <w:tcW w:w="1157" w:type="dxa"/>
            <w:noWrap w:val="0"/>
            <w:vAlign w:val="center"/>
          </w:tcPr>
          <w:p>
            <w:pPr>
              <w:jc w:val="center"/>
              <w:rPr>
                <w:rFonts w:hint="eastAsia" w:ascii="黑体" w:hAnsi="黑体" w:eastAsia="黑体" w:cs="黑体"/>
                <w:b w:val="0"/>
                <w:bCs w:val="0"/>
                <w:sz w:val="24"/>
                <w:lang w:eastAsia="zh-CN"/>
              </w:rPr>
            </w:pPr>
            <w:r>
              <w:rPr>
                <w:rFonts w:hint="eastAsia" w:ascii="黑体" w:hAnsi="黑体" w:eastAsia="黑体" w:cs="黑体"/>
                <w:b w:val="0"/>
                <w:bCs w:val="0"/>
                <w:sz w:val="24"/>
              </w:rPr>
              <w:t>船舶类型</w:t>
            </w:r>
          </w:p>
        </w:tc>
        <w:tc>
          <w:tcPr>
            <w:tcW w:w="945"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总吨</w:t>
            </w:r>
          </w:p>
        </w:tc>
        <w:tc>
          <w:tcPr>
            <w:tcW w:w="945" w:type="dxa"/>
            <w:noWrap w:val="0"/>
            <w:vAlign w:val="center"/>
          </w:tcPr>
          <w:p>
            <w:pPr>
              <w:jc w:val="center"/>
              <w:rPr>
                <w:rFonts w:hint="eastAsia" w:ascii="黑体" w:hAnsi="黑体" w:eastAsia="黑体" w:cs="黑体"/>
                <w:b w:val="0"/>
                <w:bCs w:val="0"/>
                <w:sz w:val="24"/>
                <w:lang w:eastAsia="zh-CN"/>
              </w:rPr>
            </w:pPr>
            <w:r>
              <w:rPr>
                <w:rFonts w:hint="eastAsia" w:ascii="黑体" w:hAnsi="黑体" w:eastAsia="黑体" w:cs="黑体"/>
                <w:b w:val="0"/>
                <w:bCs w:val="0"/>
                <w:sz w:val="24"/>
                <w:lang w:eastAsia="zh-CN"/>
              </w:rPr>
              <w:t>经营航线</w:t>
            </w:r>
          </w:p>
        </w:tc>
        <w:tc>
          <w:tcPr>
            <w:tcW w:w="945"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lang w:eastAsia="zh-CN"/>
              </w:rPr>
              <w:t>海船</w:t>
            </w:r>
            <w:r>
              <w:rPr>
                <w:rFonts w:hint="eastAsia" w:ascii="黑体" w:hAnsi="黑体" w:eastAsia="黑体" w:cs="黑体"/>
                <w:b w:val="0"/>
                <w:bCs w:val="0"/>
                <w:sz w:val="24"/>
                <w:lang w:val="en-US" w:eastAsia="zh-CN"/>
              </w:rPr>
              <w:t>/河船/江海直达船</w:t>
            </w:r>
          </w:p>
        </w:tc>
        <w:tc>
          <w:tcPr>
            <w:tcW w:w="2000"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主推进能源类型</w:t>
            </w:r>
          </w:p>
          <w:p>
            <w:pPr>
              <w:jc w:val="center"/>
              <w:rPr>
                <w:rFonts w:ascii="黑体" w:hAnsi="黑体" w:eastAsia="黑体" w:cs="黑体"/>
                <w:b w:val="0"/>
                <w:bCs w:val="0"/>
                <w:sz w:val="24"/>
              </w:rPr>
            </w:pPr>
            <w:r>
              <w:rPr>
                <w:rFonts w:hint="eastAsia" w:ascii="黑体" w:hAnsi="黑体" w:eastAsia="黑体" w:cs="黑体"/>
                <w:b w:val="0"/>
                <w:bCs w:val="0"/>
                <w:sz w:val="24"/>
              </w:rPr>
              <w:t>（LNG、甲醇、氢或电池）</w:t>
            </w:r>
          </w:p>
        </w:tc>
        <w:tc>
          <w:tcPr>
            <w:tcW w:w="1157" w:type="dxa"/>
            <w:noWrap w:val="0"/>
            <w:vAlign w:val="center"/>
          </w:tcPr>
          <w:p>
            <w:pPr>
              <w:jc w:val="center"/>
              <w:rPr>
                <w:b w:val="0"/>
                <w:bCs w:val="0"/>
              </w:rPr>
            </w:pPr>
          </w:p>
          <w:p>
            <w:pPr>
              <w:jc w:val="center"/>
              <w:rPr>
                <w:rFonts w:ascii="黑体" w:hAnsi="黑体" w:eastAsia="黑体" w:cs="黑体"/>
                <w:b w:val="0"/>
                <w:bCs w:val="0"/>
                <w:sz w:val="24"/>
              </w:rPr>
            </w:pPr>
            <w:r>
              <w:rPr>
                <w:rFonts w:hint="eastAsia" w:ascii="黑体" w:hAnsi="黑体" w:eastAsia="黑体" w:cs="黑体"/>
                <w:b w:val="0"/>
                <w:bCs w:val="0"/>
                <w:sz w:val="24"/>
                <w:lang w:eastAsia="zh-CN"/>
              </w:rPr>
              <w:t>主机</w:t>
            </w:r>
            <w:r>
              <w:rPr>
                <w:rFonts w:hint="eastAsia" w:ascii="黑体" w:hAnsi="黑体" w:eastAsia="黑体" w:cs="黑体"/>
                <w:b w:val="0"/>
                <w:bCs w:val="0"/>
                <w:sz w:val="24"/>
              </w:rPr>
              <w:t>功率或电池容量（kW或kWh）</w:t>
            </w:r>
          </w:p>
        </w:tc>
        <w:tc>
          <w:tcPr>
            <w:tcW w:w="1157"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船舶造价</w:t>
            </w:r>
          </w:p>
          <w:p>
            <w:pPr>
              <w:jc w:val="center"/>
              <w:rPr>
                <w:rFonts w:ascii="黑体" w:hAnsi="黑体" w:eastAsia="黑体" w:cs="黑体"/>
                <w:b w:val="0"/>
                <w:bCs w:val="0"/>
                <w:sz w:val="24"/>
              </w:rPr>
            </w:pPr>
            <w:r>
              <w:rPr>
                <w:rFonts w:hint="eastAsia" w:ascii="黑体" w:hAnsi="黑体" w:eastAsia="黑体" w:cs="黑体"/>
                <w:b w:val="0"/>
                <w:bCs w:val="0"/>
                <w:sz w:val="24"/>
              </w:rPr>
              <w:t>（万元）</w:t>
            </w:r>
          </w:p>
        </w:tc>
        <w:tc>
          <w:tcPr>
            <w:tcW w:w="1472" w:type="dxa"/>
            <w:noWrap w:val="0"/>
            <w:vAlign w:val="center"/>
          </w:tcPr>
          <w:p>
            <w:pPr>
              <w:jc w:val="center"/>
              <w:rPr>
                <w:rFonts w:hint="eastAsia" w:ascii="黑体" w:hAnsi="黑体" w:eastAsia="黑体" w:cs="黑体"/>
                <w:b w:val="0"/>
                <w:bCs w:val="0"/>
                <w:sz w:val="24"/>
                <w:lang w:val="en-US" w:eastAsia="zh-CN"/>
              </w:rPr>
            </w:pPr>
            <w:r>
              <w:rPr>
                <w:rFonts w:hint="eastAsia" w:ascii="黑体" w:hAnsi="黑体" w:eastAsia="黑体" w:cs="黑体"/>
                <w:b w:val="0"/>
                <w:bCs w:val="0"/>
                <w:sz w:val="24"/>
              </w:rPr>
              <w:t>建成年份</w:t>
            </w:r>
            <w:r>
              <w:rPr>
                <w:rFonts w:hint="eastAsia" w:ascii="黑体" w:hAnsi="黑体" w:eastAsia="黑体" w:cs="黑体"/>
                <w:b w:val="0"/>
                <w:bCs w:val="0"/>
                <w:sz w:val="24"/>
                <w:lang w:val="en-US" w:eastAsia="zh-CN"/>
              </w:rPr>
              <w:t>/在建中</w:t>
            </w:r>
          </w:p>
        </w:tc>
        <w:tc>
          <w:tcPr>
            <w:tcW w:w="1472" w:type="dxa"/>
            <w:noWrap w:val="0"/>
            <w:vAlign w:val="center"/>
          </w:tcPr>
          <w:p>
            <w:pPr>
              <w:jc w:val="center"/>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检验单位</w:t>
            </w:r>
          </w:p>
        </w:tc>
        <w:tc>
          <w:tcPr>
            <w:tcW w:w="1472" w:type="dxa"/>
            <w:noWrap w:val="0"/>
            <w:vAlign w:val="center"/>
          </w:tcPr>
          <w:p>
            <w:pPr>
              <w:jc w:val="center"/>
              <w:rPr>
                <w:rFonts w:hint="default" w:ascii="黑体" w:hAnsi="黑体" w:eastAsia="黑体" w:cs="黑体"/>
                <w:b w:val="0"/>
                <w:bCs w:val="0"/>
                <w:sz w:val="24"/>
                <w:lang w:val="en-US" w:eastAsia="zh-CN"/>
              </w:rPr>
            </w:pPr>
            <w:r>
              <w:rPr>
                <w:rFonts w:hint="eastAsia" w:ascii="黑体" w:hAnsi="黑体" w:eastAsia="黑体" w:cs="黑体"/>
                <w:b w:val="0"/>
                <w:bCs w:val="0"/>
                <w:sz w:val="24"/>
                <w:lang w:val="en-US" w:eastAsia="zh-CN"/>
              </w:rPr>
              <w:t>船舶所有人名称、船舶经营人名称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18" w:type="dxa"/>
            <w:noWrap w:val="0"/>
            <w:vAlign w:val="center"/>
          </w:tcPr>
          <w:p>
            <w:pPr>
              <w:jc w:val="center"/>
              <w:rPr>
                <w:rFonts w:ascii="Calibri" w:hAnsi="Calibri" w:eastAsia="宋体" w:cs="Times New Roman"/>
                <w:sz w:val="24"/>
              </w:rPr>
            </w:pPr>
          </w:p>
        </w:tc>
        <w:tc>
          <w:tcPr>
            <w:tcW w:w="825" w:type="dxa"/>
            <w:noWrap w:val="0"/>
            <w:vAlign w:val="center"/>
          </w:tcPr>
          <w:p>
            <w:pPr>
              <w:jc w:val="center"/>
              <w:rPr>
                <w:rFonts w:ascii="Calibri" w:hAnsi="Calibri" w:eastAsia="宋体" w:cs="Times New Roman"/>
                <w:sz w:val="24"/>
              </w:rPr>
            </w:pPr>
          </w:p>
        </w:tc>
        <w:tc>
          <w:tcPr>
            <w:tcW w:w="1157" w:type="dxa"/>
            <w:noWrap w:val="0"/>
            <w:vAlign w:val="top"/>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945" w:type="dxa"/>
            <w:noWrap w:val="0"/>
            <w:vAlign w:val="center"/>
          </w:tcPr>
          <w:p>
            <w:pPr>
              <w:jc w:val="center"/>
              <w:rPr>
                <w:rFonts w:ascii="Calibri" w:hAnsi="Calibri" w:eastAsia="宋体" w:cs="Times New Roman"/>
                <w:sz w:val="24"/>
              </w:rPr>
            </w:pPr>
          </w:p>
        </w:tc>
        <w:tc>
          <w:tcPr>
            <w:tcW w:w="2000"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157"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c>
          <w:tcPr>
            <w:tcW w:w="1472" w:type="dxa"/>
            <w:noWrap w:val="0"/>
            <w:vAlign w:val="center"/>
          </w:tcPr>
          <w:p>
            <w:pPr>
              <w:jc w:val="center"/>
              <w:rPr>
                <w:rFonts w:ascii="Calibri" w:hAnsi="Calibri" w:eastAsia="宋体" w:cs="Times New Roman"/>
                <w:sz w:val="24"/>
              </w:rPr>
            </w:pPr>
          </w:p>
        </w:tc>
      </w:tr>
      <w:bookmarkEnd w:id="2"/>
    </w:tbl>
    <w:p>
      <w:pPr>
        <w:rPr>
          <w:rFonts w:hint="default" w:ascii="黑体" w:hAnsi="黑体" w:eastAsia="黑体" w:cs="Times New Roman"/>
          <w:sz w:val="24"/>
          <w:szCs w:val="24"/>
          <w:lang w:val="en-US" w:eastAsia="zh-CN"/>
        </w:rPr>
      </w:pPr>
      <w:r>
        <w:rPr>
          <w:rFonts w:hint="eastAsia" w:ascii="黑体" w:hAnsi="黑体" w:eastAsia="黑体" w:cs="Times New Roman"/>
          <w:sz w:val="24"/>
          <w:szCs w:val="24"/>
          <w:lang w:eastAsia="zh-CN"/>
        </w:rPr>
        <w:t>注：</w:t>
      </w:r>
      <w:r>
        <w:rPr>
          <w:rFonts w:hint="eastAsia" w:ascii="黑体" w:hAnsi="黑体" w:eastAsia="黑体" w:cs="Times New Roman"/>
          <w:sz w:val="24"/>
          <w:szCs w:val="24"/>
          <w:lang w:val="en-US" w:eastAsia="zh-CN"/>
        </w:rPr>
        <w:t>1.只填写船长大于20米的船舶；</w:t>
      </w:r>
    </w:p>
    <w:p>
      <w:pPr>
        <w:numPr>
          <w:ilvl w:val="0"/>
          <w:numId w:val="2"/>
        </w:numPr>
        <w:ind w:firstLine="480" w:firstLineChars="200"/>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电池动力需注明充电式或换电式，换电式需注明配套充换电设施及运营模式。</w:t>
      </w:r>
    </w:p>
    <w:p>
      <w:pPr>
        <w:numPr>
          <w:ilvl w:val="0"/>
          <w:numId w:val="2"/>
        </w:numPr>
        <w:ind w:firstLine="480" w:firstLineChars="200"/>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船舶类型指客船、客货船（客货船、客货运滚装船）、货船（杂货船、散货船、集装箱船、油船、货运滚装船、多用途船、其他）、拖船、驳船、工作船等。</w:t>
      </w:r>
    </w:p>
    <w:p>
      <w:pPr>
        <w:widowControl/>
        <w:ind w:firstLine="480" w:firstLineChars="200"/>
        <w:jc w:val="left"/>
        <w:rPr>
          <w:rFonts w:ascii="黑体" w:hAnsi="黑体" w:eastAsia="黑体" w:cs="Times New Roman"/>
          <w:sz w:val="32"/>
          <w:szCs w:val="32"/>
        </w:rPr>
      </w:pPr>
      <w:r>
        <w:rPr>
          <w:rFonts w:hint="eastAsia" w:ascii="黑体" w:hAnsi="黑体" w:eastAsia="黑体" w:cs="Times New Roman"/>
          <w:sz w:val="24"/>
          <w:szCs w:val="24"/>
        </w:rPr>
        <w:br w:type="page"/>
      </w:r>
      <w:r>
        <w:rPr>
          <w:rFonts w:hint="eastAsia" w:ascii="黑体" w:hAnsi="黑体" w:eastAsia="黑体" w:cs="Times New Roman"/>
          <w:sz w:val="32"/>
          <w:szCs w:val="32"/>
        </w:rPr>
        <w:t>附件3 本地区新能源清洁能源船舶配套设施情况调查表</w:t>
      </w:r>
    </w:p>
    <w:tbl>
      <w:tblPr>
        <w:tblStyle w:val="3"/>
        <w:tblW w:w="14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55"/>
        <w:gridCol w:w="1433"/>
        <w:gridCol w:w="1660"/>
        <w:gridCol w:w="2619"/>
        <w:gridCol w:w="1580"/>
        <w:gridCol w:w="1563"/>
        <w:gridCol w:w="156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432" w:type="dxa"/>
            <w:noWrap w:val="0"/>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配套设施</w:t>
            </w:r>
          </w:p>
          <w:p>
            <w:pPr>
              <w:jc w:val="center"/>
              <w:rPr>
                <w:rFonts w:ascii="黑体" w:hAnsi="黑体" w:eastAsia="黑体" w:cs="黑体"/>
                <w:b w:val="0"/>
                <w:bCs w:val="0"/>
                <w:sz w:val="24"/>
              </w:rPr>
            </w:pPr>
            <w:r>
              <w:rPr>
                <w:rFonts w:hint="eastAsia" w:ascii="黑体" w:hAnsi="黑体" w:eastAsia="黑体" w:cs="黑体"/>
                <w:b w:val="0"/>
                <w:bCs w:val="0"/>
                <w:sz w:val="24"/>
              </w:rPr>
              <w:t>类型</w:t>
            </w:r>
          </w:p>
        </w:tc>
        <w:tc>
          <w:tcPr>
            <w:tcW w:w="755" w:type="dxa"/>
            <w:noWrap w:val="0"/>
            <w:vAlign w:val="center"/>
          </w:tcPr>
          <w:p>
            <w:pPr>
              <w:jc w:val="center"/>
              <w:rPr>
                <w:b w:val="0"/>
                <w:bCs w:val="0"/>
              </w:rPr>
            </w:pPr>
            <w:r>
              <w:rPr>
                <w:rFonts w:hint="eastAsia" w:ascii="黑体" w:hAnsi="黑体" w:eastAsia="黑体" w:cs="黑体"/>
                <w:b w:val="0"/>
                <w:bCs w:val="0"/>
                <w:sz w:val="24"/>
              </w:rPr>
              <w:t>序号</w:t>
            </w:r>
          </w:p>
        </w:tc>
        <w:tc>
          <w:tcPr>
            <w:tcW w:w="1433" w:type="dxa"/>
            <w:noWrap w:val="0"/>
            <w:vAlign w:val="center"/>
          </w:tcPr>
          <w:p>
            <w:pPr>
              <w:jc w:val="center"/>
              <w:rPr>
                <w:b w:val="0"/>
                <w:bCs w:val="0"/>
              </w:rPr>
            </w:pPr>
            <w:r>
              <w:rPr>
                <w:rFonts w:hint="eastAsia" w:ascii="黑体" w:hAnsi="黑体" w:eastAsia="黑体" w:cs="黑体"/>
                <w:b w:val="0"/>
                <w:bCs w:val="0"/>
                <w:sz w:val="24"/>
              </w:rPr>
              <w:t>站点名称</w:t>
            </w:r>
          </w:p>
        </w:tc>
        <w:tc>
          <w:tcPr>
            <w:tcW w:w="1660" w:type="dxa"/>
            <w:noWrap w:val="0"/>
            <w:vAlign w:val="center"/>
          </w:tcPr>
          <w:p>
            <w:pPr>
              <w:jc w:val="center"/>
              <w:rPr>
                <w:rFonts w:hint="eastAsia" w:ascii="黑体" w:hAnsi="黑体" w:eastAsia="黑体" w:cs="黑体"/>
                <w:b w:val="0"/>
                <w:bCs w:val="0"/>
                <w:sz w:val="24"/>
                <w:lang w:eastAsia="zh-CN"/>
              </w:rPr>
            </w:pPr>
            <w:r>
              <w:rPr>
                <w:rFonts w:hint="eastAsia" w:ascii="黑体" w:hAnsi="黑体" w:eastAsia="黑体" w:cs="黑体"/>
                <w:b w:val="0"/>
                <w:bCs w:val="0"/>
                <w:sz w:val="24"/>
                <w:lang w:eastAsia="zh-CN"/>
              </w:rPr>
              <w:t>所在地（港口、水上服务区或其他地址等）</w:t>
            </w:r>
          </w:p>
        </w:tc>
        <w:tc>
          <w:tcPr>
            <w:tcW w:w="2619"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额定容量或站点规模</w:t>
            </w:r>
          </w:p>
        </w:tc>
        <w:tc>
          <w:tcPr>
            <w:tcW w:w="1580"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建设成本</w:t>
            </w:r>
          </w:p>
          <w:p>
            <w:pPr>
              <w:jc w:val="center"/>
              <w:rPr>
                <w:rFonts w:ascii="黑体" w:hAnsi="黑体" w:eastAsia="黑体" w:cs="黑体"/>
                <w:b w:val="0"/>
                <w:bCs w:val="0"/>
                <w:sz w:val="24"/>
              </w:rPr>
            </w:pPr>
            <w:r>
              <w:rPr>
                <w:rFonts w:hint="eastAsia" w:ascii="黑体" w:hAnsi="黑体" w:eastAsia="黑体" w:cs="黑体"/>
                <w:b w:val="0"/>
                <w:bCs w:val="0"/>
                <w:sz w:val="24"/>
              </w:rPr>
              <w:t>（万元）</w:t>
            </w:r>
          </w:p>
        </w:tc>
        <w:tc>
          <w:tcPr>
            <w:tcW w:w="1563" w:type="dxa"/>
            <w:noWrap w:val="0"/>
            <w:vAlign w:val="center"/>
          </w:tcPr>
          <w:p>
            <w:pPr>
              <w:jc w:val="center"/>
              <w:rPr>
                <w:rFonts w:hint="default" w:ascii="黑体" w:hAnsi="黑体" w:eastAsia="黑体" w:cs="黑体"/>
                <w:b w:val="0"/>
                <w:bCs w:val="0"/>
                <w:sz w:val="24"/>
                <w:lang w:val="en-US" w:eastAsia="zh-CN"/>
              </w:rPr>
            </w:pPr>
            <w:r>
              <w:rPr>
                <w:rFonts w:hint="eastAsia" w:ascii="黑体" w:hAnsi="黑体" w:eastAsia="黑体" w:cs="黑体"/>
                <w:b w:val="0"/>
                <w:bCs w:val="0"/>
                <w:sz w:val="24"/>
                <w:lang w:eastAsia="zh-CN"/>
              </w:rPr>
              <w:t>建成年份</w:t>
            </w:r>
            <w:r>
              <w:rPr>
                <w:rFonts w:hint="eastAsia" w:ascii="黑体" w:hAnsi="黑体" w:eastAsia="黑体" w:cs="黑体"/>
                <w:b w:val="0"/>
                <w:bCs w:val="0"/>
                <w:sz w:val="24"/>
                <w:lang w:val="en-US" w:eastAsia="zh-CN"/>
              </w:rPr>
              <w:t>/在建中</w:t>
            </w:r>
          </w:p>
        </w:tc>
        <w:tc>
          <w:tcPr>
            <w:tcW w:w="1563" w:type="dxa"/>
            <w:noWrap w:val="0"/>
            <w:vAlign w:val="center"/>
          </w:tcPr>
          <w:p>
            <w:pPr>
              <w:jc w:val="center"/>
              <w:rPr>
                <w:rFonts w:ascii="黑体" w:hAnsi="黑体" w:eastAsia="黑体" w:cs="黑体"/>
                <w:b w:val="0"/>
                <w:bCs w:val="0"/>
                <w:sz w:val="24"/>
              </w:rPr>
            </w:pPr>
            <w:r>
              <w:rPr>
                <w:rFonts w:hint="eastAsia" w:ascii="黑体" w:hAnsi="黑体" w:eastAsia="黑体" w:cs="黑体"/>
                <w:b w:val="0"/>
                <w:bCs w:val="0"/>
                <w:sz w:val="24"/>
              </w:rPr>
              <w:t>年运</w:t>
            </w:r>
            <w:r>
              <w:rPr>
                <w:rFonts w:hint="eastAsia" w:ascii="黑体" w:hAnsi="黑体" w:eastAsia="黑体" w:cs="黑体"/>
                <w:b w:val="0"/>
                <w:bCs w:val="0"/>
                <w:sz w:val="24"/>
                <w:lang w:eastAsia="zh-CN"/>
              </w:rPr>
              <w:t>营</w:t>
            </w:r>
            <w:r>
              <w:rPr>
                <w:rFonts w:hint="eastAsia" w:ascii="黑体" w:hAnsi="黑体" w:eastAsia="黑体" w:cs="黑体"/>
                <w:b w:val="0"/>
                <w:bCs w:val="0"/>
                <w:sz w:val="24"/>
              </w:rPr>
              <w:t>情况（服务船舶艘次及供应量）</w:t>
            </w:r>
          </w:p>
          <w:p>
            <w:pPr>
              <w:jc w:val="center"/>
              <w:rPr>
                <w:rFonts w:ascii="黑体" w:hAnsi="黑体" w:eastAsia="黑体" w:cs="黑体"/>
                <w:b w:val="0"/>
                <w:bCs w:val="0"/>
                <w:sz w:val="24"/>
              </w:rPr>
            </w:pPr>
            <w:r>
              <w:rPr>
                <w:rFonts w:hint="eastAsia" w:ascii="黑体" w:hAnsi="黑体" w:eastAsia="黑体" w:cs="黑体"/>
                <w:b w:val="0"/>
                <w:bCs w:val="0"/>
                <w:sz w:val="24"/>
              </w:rPr>
              <w:t>（2022年）</w:t>
            </w:r>
          </w:p>
        </w:tc>
        <w:tc>
          <w:tcPr>
            <w:tcW w:w="1563" w:type="dxa"/>
            <w:noWrap w:val="0"/>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lang w:val="en-US" w:eastAsia="zh-CN"/>
              </w:rPr>
              <w:t>建设单位名称和运营单位名称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充电设施</w:t>
            </w:r>
          </w:p>
        </w:tc>
        <w:tc>
          <w:tcPr>
            <w:tcW w:w="755" w:type="dxa"/>
            <w:noWrap w:val="0"/>
            <w:vAlign w:val="center"/>
          </w:tcPr>
          <w:p>
            <w:pPr>
              <w:jc w:val="center"/>
            </w:pPr>
            <w:r>
              <w:rPr>
                <w:rFonts w:hint="eastAsia"/>
              </w:rPr>
              <w:t>1</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2</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换电设施</w:t>
            </w:r>
          </w:p>
        </w:tc>
        <w:tc>
          <w:tcPr>
            <w:tcW w:w="755" w:type="dxa"/>
            <w:noWrap w:val="0"/>
            <w:vAlign w:val="center"/>
          </w:tcPr>
          <w:p>
            <w:pPr>
              <w:jc w:val="center"/>
            </w:pPr>
            <w:r>
              <w:rPr>
                <w:rFonts w:hint="eastAsia"/>
              </w:rPr>
              <w:t>1</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2</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LNG加</w:t>
            </w:r>
            <w:r>
              <w:rPr>
                <w:rFonts w:hint="eastAsia" w:ascii="黑体" w:hAnsi="黑体" w:eastAsia="黑体" w:cs="黑体"/>
                <w:sz w:val="24"/>
                <w:lang w:val="en-US" w:eastAsia="zh-CN"/>
              </w:rPr>
              <w:t>气</w:t>
            </w:r>
            <w:r>
              <w:rPr>
                <w:rFonts w:hint="eastAsia" w:ascii="黑体" w:hAnsi="黑体" w:eastAsia="黑体" w:cs="黑体"/>
                <w:sz w:val="24"/>
              </w:rPr>
              <w:t>站（点）</w:t>
            </w:r>
          </w:p>
        </w:tc>
        <w:tc>
          <w:tcPr>
            <w:tcW w:w="755" w:type="dxa"/>
            <w:noWrap w:val="0"/>
            <w:vAlign w:val="center"/>
          </w:tcPr>
          <w:p>
            <w:pPr>
              <w:jc w:val="center"/>
            </w:pPr>
            <w:r>
              <w:rPr>
                <w:rFonts w:hint="eastAsia"/>
              </w:rPr>
              <w:t>1</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2</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甲醇加注站（点）</w:t>
            </w:r>
          </w:p>
        </w:tc>
        <w:tc>
          <w:tcPr>
            <w:tcW w:w="755" w:type="dxa"/>
            <w:noWrap w:val="0"/>
            <w:vAlign w:val="center"/>
          </w:tcPr>
          <w:p>
            <w:pPr>
              <w:jc w:val="center"/>
            </w:pPr>
            <w:r>
              <w:rPr>
                <w:rFonts w:hint="eastAsia"/>
              </w:rPr>
              <w:t>1</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2</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restart"/>
            <w:noWrap w:val="0"/>
            <w:vAlign w:val="center"/>
          </w:tcPr>
          <w:p>
            <w:pPr>
              <w:jc w:val="center"/>
              <w:rPr>
                <w:rFonts w:hint="eastAsia" w:ascii="黑体" w:hAnsi="黑体" w:eastAsia="黑体" w:cs="黑体"/>
                <w:sz w:val="24"/>
              </w:rPr>
            </w:pPr>
            <w:r>
              <w:rPr>
                <w:rFonts w:hint="eastAsia" w:ascii="黑体" w:hAnsi="黑体" w:eastAsia="黑体" w:cs="黑体"/>
                <w:sz w:val="24"/>
              </w:rPr>
              <w:t>加</w:t>
            </w:r>
            <w:r>
              <w:rPr>
                <w:rFonts w:hint="eastAsia" w:ascii="黑体" w:hAnsi="黑体" w:eastAsia="黑体" w:cs="黑体"/>
                <w:sz w:val="24"/>
                <w:lang w:eastAsia="zh-CN"/>
              </w:rPr>
              <w:t>氢</w:t>
            </w:r>
            <w:r>
              <w:rPr>
                <w:rFonts w:hint="eastAsia" w:ascii="黑体" w:hAnsi="黑体" w:eastAsia="黑体" w:cs="黑体"/>
                <w:sz w:val="24"/>
              </w:rPr>
              <w:t>站（点）</w:t>
            </w:r>
          </w:p>
        </w:tc>
        <w:tc>
          <w:tcPr>
            <w:tcW w:w="755" w:type="dxa"/>
            <w:noWrap w:val="0"/>
            <w:vAlign w:val="center"/>
          </w:tcPr>
          <w:p>
            <w:pPr>
              <w:jc w:val="center"/>
            </w:pPr>
            <w:r>
              <w:rPr>
                <w:rFonts w:hint="eastAsia"/>
              </w:rPr>
              <w:t>1</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2</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vMerge w:val="continue"/>
            <w:noWrap w:val="0"/>
            <w:vAlign w:val="center"/>
          </w:tcPr>
          <w:p>
            <w:pPr>
              <w:jc w:val="center"/>
              <w:rPr>
                <w:rFonts w:hint="eastAsia" w:ascii="黑体" w:hAnsi="黑体" w:eastAsia="黑体" w:cs="黑体"/>
                <w:sz w:val="24"/>
              </w:rPr>
            </w:pPr>
          </w:p>
        </w:tc>
        <w:tc>
          <w:tcPr>
            <w:tcW w:w="755" w:type="dxa"/>
            <w:noWrap w:val="0"/>
            <w:vAlign w:val="center"/>
          </w:tcPr>
          <w:p>
            <w:pPr>
              <w:jc w:val="center"/>
            </w:pPr>
            <w:r>
              <w:rPr>
                <w:rFonts w:hint="eastAsia"/>
              </w:rPr>
              <w:t>……</w:t>
            </w: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2" w:type="dxa"/>
            <w:noWrap w:val="0"/>
            <w:vAlign w:val="center"/>
          </w:tcPr>
          <w:p>
            <w:pPr>
              <w:jc w:val="center"/>
              <w:rPr>
                <w:rFonts w:hint="eastAsia" w:ascii="黑体" w:hAnsi="黑体" w:eastAsia="黑体" w:cs="黑体"/>
                <w:sz w:val="24"/>
              </w:rPr>
            </w:pPr>
            <w:r>
              <w:rPr>
                <w:rFonts w:hint="eastAsia" w:ascii="黑体" w:hAnsi="黑体" w:eastAsia="黑体" w:cs="黑体"/>
                <w:sz w:val="24"/>
              </w:rPr>
              <w:t>其他</w:t>
            </w:r>
          </w:p>
        </w:tc>
        <w:tc>
          <w:tcPr>
            <w:tcW w:w="755" w:type="dxa"/>
            <w:noWrap w:val="0"/>
            <w:vAlign w:val="center"/>
          </w:tcPr>
          <w:p>
            <w:pPr>
              <w:jc w:val="center"/>
            </w:pPr>
          </w:p>
        </w:tc>
        <w:tc>
          <w:tcPr>
            <w:tcW w:w="1433" w:type="dxa"/>
            <w:noWrap w:val="0"/>
            <w:vAlign w:val="center"/>
          </w:tcPr>
          <w:p>
            <w:pPr>
              <w:jc w:val="center"/>
            </w:pPr>
          </w:p>
        </w:tc>
        <w:tc>
          <w:tcPr>
            <w:tcW w:w="1660" w:type="dxa"/>
            <w:noWrap w:val="0"/>
            <w:vAlign w:val="center"/>
          </w:tcPr>
          <w:p>
            <w:pPr>
              <w:jc w:val="center"/>
              <w:rPr>
                <w:rFonts w:ascii="Calibri" w:hAnsi="Calibri" w:eastAsia="宋体" w:cs="Times New Roman"/>
                <w:sz w:val="24"/>
              </w:rPr>
            </w:pPr>
          </w:p>
        </w:tc>
        <w:tc>
          <w:tcPr>
            <w:tcW w:w="2619" w:type="dxa"/>
            <w:noWrap w:val="0"/>
            <w:vAlign w:val="center"/>
          </w:tcPr>
          <w:p>
            <w:pPr>
              <w:jc w:val="center"/>
              <w:rPr>
                <w:rFonts w:ascii="Calibri" w:hAnsi="Calibri" w:eastAsia="宋体" w:cs="Times New Roman"/>
                <w:sz w:val="24"/>
              </w:rPr>
            </w:pPr>
          </w:p>
        </w:tc>
        <w:tc>
          <w:tcPr>
            <w:tcW w:w="1580" w:type="dxa"/>
            <w:noWrap w:val="0"/>
            <w:vAlign w:val="center"/>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c>
          <w:tcPr>
            <w:tcW w:w="1563" w:type="dxa"/>
            <w:noWrap w:val="0"/>
            <w:vAlign w:val="top"/>
          </w:tcPr>
          <w:p>
            <w:pPr>
              <w:jc w:val="center"/>
              <w:rPr>
                <w:rFonts w:ascii="Calibri" w:hAnsi="Calibri" w:eastAsia="宋体" w:cs="Times New Roman"/>
                <w:sz w:val="24"/>
              </w:rPr>
            </w:pPr>
          </w:p>
        </w:tc>
      </w:tr>
    </w:tbl>
    <w:p>
      <w:pPr>
        <w:jc w:val="left"/>
        <w:rPr>
          <w:rFonts w:ascii="Calibri" w:hAnsi="Calibri" w:eastAsia="宋体" w:cs="Times New Roman"/>
          <w:sz w:val="28"/>
          <w:szCs w:val="28"/>
        </w:rPr>
        <w:sectPr>
          <w:pgSz w:w="16838" w:h="11906" w:orient="landscape"/>
          <w:pgMar w:top="1800" w:right="1440" w:bottom="1800" w:left="1440" w:header="851" w:footer="992" w:gutter="0"/>
          <w:cols w:space="720" w:num="1"/>
          <w:docGrid w:type="lines" w:linePitch="312" w:charSpace="0"/>
        </w:sectPr>
      </w:pPr>
    </w:p>
    <w:p>
      <w:pPr>
        <w:widowControl/>
        <w:jc w:val="left"/>
        <w:rPr>
          <w:rFonts w:hint="eastAsia" w:ascii="黑体" w:hAnsi="黑体" w:eastAsia="黑体" w:cs="Times New Roman"/>
          <w:sz w:val="32"/>
          <w:szCs w:val="32"/>
        </w:rPr>
      </w:pPr>
      <w:r>
        <w:rPr>
          <w:rFonts w:hint="eastAsia" w:ascii="黑体" w:hAnsi="黑体" w:eastAsia="黑体" w:cs="Times New Roman"/>
          <w:sz w:val="32"/>
          <w:szCs w:val="32"/>
        </w:rPr>
        <w:t xml:space="preserve">附件4 </w:t>
      </w:r>
    </w:p>
    <w:p>
      <w:pPr>
        <w:widowControl/>
        <w:ind w:firstLine="960" w:firstLineChars="300"/>
        <w:jc w:val="left"/>
        <w:rPr>
          <w:rFonts w:hint="eastAsia" w:ascii="黑体" w:hAnsi="黑体" w:eastAsia="黑体" w:cs="Times New Roman"/>
          <w:sz w:val="32"/>
          <w:szCs w:val="32"/>
        </w:rPr>
      </w:pPr>
      <w:r>
        <w:rPr>
          <w:rFonts w:hint="eastAsia" w:ascii="黑体" w:hAnsi="黑体" w:eastAsia="黑体" w:cs="Times New Roman"/>
          <w:sz w:val="32"/>
          <w:szCs w:val="32"/>
        </w:rPr>
        <w:t>新能源清洁能源船舶技术装备发展情况调研提纲</w:t>
      </w:r>
    </w:p>
    <w:p>
      <w:pPr>
        <w:numPr>
          <w:ilvl w:val="0"/>
          <w:numId w:val="3"/>
        </w:numPr>
        <w:jc w:val="both"/>
        <w:rPr>
          <w:rFonts w:ascii="仿宋" w:hAnsi="仿宋" w:eastAsia="仿宋" w:cs="仿宋"/>
          <w:sz w:val="32"/>
          <w:szCs w:val="32"/>
        </w:rPr>
      </w:pPr>
      <w:r>
        <w:rPr>
          <w:rFonts w:hint="eastAsia" w:ascii="仿宋" w:hAnsi="仿宋" w:eastAsia="仿宋" w:cs="仿宋"/>
          <w:sz w:val="32"/>
          <w:szCs w:val="32"/>
          <w:lang w:eastAsia="zh-CN"/>
        </w:rPr>
        <w:t>本</w:t>
      </w:r>
      <w:r>
        <w:rPr>
          <w:rFonts w:hint="eastAsia" w:ascii="仿宋" w:hAnsi="仿宋" w:eastAsia="仿宋" w:cs="仿宋"/>
          <w:sz w:val="32"/>
          <w:szCs w:val="32"/>
        </w:rPr>
        <w:t>单位在推动或适应新能源清洁能源船舶发展方面</w:t>
      </w:r>
      <w:r>
        <w:rPr>
          <w:rFonts w:hint="eastAsia" w:ascii="仿宋" w:hAnsi="仿宋" w:eastAsia="仿宋" w:cs="仿宋"/>
          <w:sz w:val="32"/>
          <w:szCs w:val="32"/>
          <w:lang w:eastAsia="zh-CN"/>
        </w:rPr>
        <w:t>开展的工作</w:t>
      </w:r>
      <w:r>
        <w:rPr>
          <w:rFonts w:hint="eastAsia" w:ascii="仿宋" w:hAnsi="仿宋" w:eastAsia="仿宋" w:cs="仿宋"/>
          <w:sz w:val="32"/>
          <w:szCs w:val="32"/>
        </w:rPr>
        <w:t>和下一步</w:t>
      </w:r>
      <w:r>
        <w:rPr>
          <w:rFonts w:hint="eastAsia" w:ascii="仿宋" w:hAnsi="仿宋" w:eastAsia="仿宋" w:cs="仿宋"/>
          <w:sz w:val="32"/>
          <w:szCs w:val="32"/>
          <w:lang w:eastAsia="zh-CN"/>
        </w:rPr>
        <w:t>计划；</w:t>
      </w:r>
    </w:p>
    <w:p>
      <w:pPr>
        <w:numPr>
          <w:ilvl w:val="0"/>
          <w:numId w:val="3"/>
        </w:numPr>
        <w:jc w:val="both"/>
        <w:rPr>
          <w:rFonts w:ascii="仿宋" w:hAnsi="仿宋" w:eastAsia="仿宋" w:cs="仿宋"/>
          <w:sz w:val="32"/>
          <w:szCs w:val="32"/>
        </w:rPr>
      </w:pPr>
      <w:r>
        <w:rPr>
          <w:rFonts w:hint="eastAsia" w:ascii="仿宋" w:hAnsi="仿宋" w:eastAsia="仿宋" w:cs="仿宋"/>
          <w:sz w:val="32"/>
          <w:szCs w:val="32"/>
          <w:lang w:eastAsia="zh-CN"/>
        </w:rPr>
        <w:t>从燃料可得性、技术成熟度、安全性、经济性、环保性等方面，分析</w:t>
      </w:r>
      <w:r>
        <w:rPr>
          <w:rFonts w:hint="eastAsia" w:ascii="仿宋" w:hAnsi="仿宋" w:eastAsia="仿宋" w:cs="仿宋"/>
          <w:sz w:val="32"/>
          <w:szCs w:val="32"/>
        </w:rPr>
        <w:t>LNG、甲醇</w:t>
      </w:r>
      <w:r>
        <w:rPr>
          <w:rFonts w:hint="eastAsia" w:ascii="仿宋" w:hAnsi="仿宋" w:eastAsia="仿宋" w:cs="仿宋"/>
          <w:sz w:val="32"/>
          <w:szCs w:val="32"/>
          <w:lang w:eastAsia="zh-CN"/>
        </w:rPr>
        <w:t>、</w:t>
      </w:r>
      <w:r>
        <w:rPr>
          <w:rFonts w:hint="eastAsia" w:ascii="仿宋" w:hAnsi="仿宋" w:eastAsia="仿宋" w:cs="仿宋"/>
          <w:sz w:val="32"/>
          <w:szCs w:val="32"/>
        </w:rPr>
        <w:t>氢</w:t>
      </w:r>
      <w:r>
        <w:rPr>
          <w:rFonts w:hint="eastAsia" w:ascii="仿宋" w:hAnsi="仿宋" w:eastAsia="仿宋" w:cs="仿宋"/>
          <w:sz w:val="32"/>
          <w:szCs w:val="32"/>
          <w:lang w:eastAsia="zh-CN"/>
        </w:rPr>
        <w:t>、氨等</w:t>
      </w:r>
      <w:r>
        <w:rPr>
          <w:rFonts w:hint="eastAsia" w:ascii="仿宋" w:hAnsi="仿宋" w:eastAsia="仿宋" w:cs="仿宋"/>
          <w:sz w:val="32"/>
          <w:szCs w:val="32"/>
        </w:rPr>
        <w:t>燃料</w:t>
      </w:r>
      <w:r>
        <w:rPr>
          <w:rFonts w:hint="eastAsia" w:ascii="仿宋" w:hAnsi="仿宋" w:eastAsia="仿宋" w:cs="仿宋"/>
          <w:sz w:val="32"/>
          <w:szCs w:val="32"/>
          <w:lang w:eastAsia="zh-CN"/>
        </w:rPr>
        <w:t>和</w:t>
      </w:r>
      <w:r>
        <w:rPr>
          <w:rFonts w:hint="eastAsia" w:ascii="仿宋" w:hAnsi="仿宋" w:eastAsia="仿宋" w:cs="仿宋"/>
          <w:sz w:val="32"/>
          <w:szCs w:val="32"/>
        </w:rPr>
        <w:t>电池动力船舶</w:t>
      </w:r>
      <w:r>
        <w:rPr>
          <w:rFonts w:hint="eastAsia" w:ascii="仿宋" w:hAnsi="仿宋" w:eastAsia="仿宋" w:cs="仿宋"/>
          <w:sz w:val="32"/>
          <w:szCs w:val="32"/>
          <w:lang w:eastAsia="zh-CN"/>
        </w:rPr>
        <w:t>在国际航运及国内航运领域</w:t>
      </w:r>
      <w:r>
        <w:rPr>
          <w:rFonts w:hint="eastAsia" w:ascii="仿宋" w:hAnsi="仿宋" w:eastAsia="仿宋" w:cs="仿宋"/>
          <w:sz w:val="32"/>
          <w:szCs w:val="32"/>
        </w:rPr>
        <w:t>发展</w:t>
      </w:r>
      <w:r>
        <w:rPr>
          <w:rFonts w:hint="eastAsia" w:ascii="仿宋" w:hAnsi="仿宋" w:eastAsia="仿宋" w:cs="仿宋"/>
          <w:sz w:val="32"/>
          <w:szCs w:val="32"/>
          <w:lang w:eastAsia="zh-CN"/>
        </w:rPr>
        <w:t>趋势；</w:t>
      </w:r>
    </w:p>
    <w:p>
      <w:pPr>
        <w:numPr>
          <w:ilvl w:val="0"/>
          <w:numId w:val="3"/>
        </w:numPr>
        <w:jc w:val="both"/>
        <w:rPr>
          <w:rFonts w:ascii="仿宋" w:hAnsi="仿宋" w:eastAsia="仿宋" w:cs="仿宋"/>
          <w:sz w:val="32"/>
          <w:szCs w:val="32"/>
        </w:rPr>
      </w:pPr>
      <w:r>
        <w:rPr>
          <w:rFonts w:hint="eastAsia" w:ascii="仿宋" w:hAnsi="仿宋" w:eastAsia="仿宋" w:cs="仿宋"/>
          <w:sz w:val="32"/>
          <w:szCs w:val="32"/>
        </w:rPr>
        <w:t>当前我国</w:t>
      </w:r>
      <w:r>
        <w:rPr>
          <w:rFonts w:hint="eastAsia" w:ascii="仿宋" w:hAnsi="仿宋" w:eastAsia="仿宋" w:cs="仿宋"/>
          <w:sz w:val="32"/>
          <w:szCs w:val="32"/>
          <w:lang w:val="en-US" w:eastAsia="zh-CN"/>
        </w:rPr>
        <w:t>国际航运和国内航运</w:t>
      </w:r>
      <w:r>
        <w:rPr>
          <w:rFonts w:hint="eastAsia" w:ascii="仿宋" w:hAnsi="仿宋" w:eastAsia="仿宋" w:cs="仿宋"/>
          <w:sz w:val="32"/>
          <w:szCs w:val="32"/>
        </w:rPr>
        <w:t>新能源清洁能源船舶发展的关键技术和核心装备发展情况和适应度如何</w:t>
      </w:r>
      <w:r>
        <w:rPr>
          <w:rFonts w:hint="eastAsia" w:ascii="仿宋" w:hAnsi="仿宋" w:eastAsia="仿宋" w:cs="仿宋"/>
          <w:sz w:val="32"/>
          <w:szCs w:val="32"/>
          <w:lang w:eastAsia="zh-CN"/>
        </w:rPr>
        <w:t>，还存在哪些瓶颈</w:t>
      </w:r>
      <w:r>
        <w:rPr>
          <w:rFonts w:hint="eastAsia" w:ascii="仿宋" w:hAnsi="仿宋" w:eastAsia="仿宋" w:cs="仿宋"/>
          <w:sz w:val="32"/>
          <w:szCs w:val="32"/>
        </w:rPr>
        <w:t>？</w:t>
      </w:r>
    </w:p>
    <w:p>
      <w:pPr>
        <w:numPr>
          <w:ilvl w:val="0"/>
          <w:numId w:val="3"/>
        </w:numPr>
        <w:jc w:val="both"/>
        <w:rPr>
          <w:rFonts w:ascii="仿宋" w:hAnsi="仿宋" w:eastAsia="仿宋" w:cs="仿宋"/>
          <w:sz w:val="32"/>
          <w:szCs w:val="32"/>
        </w:rPr>
      </w:pPr>
      <w:r>
        <w:rPr>
          <w:rFonts w:hint="eastAsia" w:ascii="仿宋" w:hAnsi="仿宋" w:eastAsia="仿宋" w:cs="仿宋"/>
          <w:sz w:val="32"/>
          <w:szCs w:val="32"/>
        </w:rPr>
        <w:t>新能源清洁能源船舶</w:t>
      </w:r>
      <w:r>
        <w:rPr>
          <w:rFonts w:hint="eastAsia" w:ascii="仿宋" w:hAnsi="仿宋" w:eastAsia="仿宋" w:cs="仿宋"/>
          <w:sz w:val="32"/>
          <w:szCs w:val="32"/>
          <w:lang w:eastAsia="zh-CN"/>
        </w:rPr>
        <w:t>推广应用</w:t>
      </w:r>
      <w:r>
        <w:rPr>
          <w:rFonts w:hint="eastAsia" w:ascii="仿宋" w:hAnsi="仿宋" w:eastAsia="仿宋" w:cs="仿宋"/>
          <w:sz w:val="32"/>
          <w:szCs w:val="32"/>
        </w:rPr>
        <w:t>存在</w:t>
      </w:r>
      <w:r>
        <w:rPr>
          <w:rFonts w:hint="eastAsia" w:ascii="仿宋" w:hAnsi="仿宋" w:eastAsia="仿宋" w:cs="仿宋"/>
          <w:sz w:val="32"/>
          <w:szCs w:val="32"/>
          <w:lang w:eastAsia="zh-CN"/>
        </w:rPr>
        <w:t>主要</w:t>
      </w:r>
      <w:r>
        <w:rPr>
          <w:rFonts w:hint="eastAsia" w:ascii="仿宋" w:hAnsi="仿宋" w:eastAsia="仿宋" w:cs="仿宋"/>
          <w:sz w:val="32"/>
          <w:szCs w:val="32"/>
        </w:rPr>
        <w:t>问题</w:t>
      </w:r>
      <w:r>
        <w:rPr>
          <w:rFonts w:hint="eastAsia" w:ascii="仿宋" w:hAnsi="仿宋" w:eastAsia="仿宋" w:cs="仿宋"/>
          <w:sz w:val="32"/>
          <w:szCs w:val="32"/>
          <w:lang w:eastAsia="zh-CN"/>
        </w:rPr>
        <w:t>及原因、相关意见建议等。</w:t>
      </w:r>
    </w:p>
    <w:p>
      <w:pPr>
        <w:numPr>
          <w:ilvl w:val="0"/>
          <w:numId w:val="0"/>
        </w:numPr>
        <w:ind w:left="420" w:firstLine="0"/>
        <w:jc w:val="left"/>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661A6"/>
    <w:multiLevelType w:val="singleLevel"/>
    <w:tmpl w:val="90F661A6"/>
    <w:lvl w:ilvl="0" w:tentative="0">
      <w:start w:val="2"/>
      <w:numFmt w:val="decimal"/>
      <w:lvlText w:val="%1."/>
      <w:lvlJc w:val="left"/>
      <w:pPr>
        <w:tabs>
          <w:tab w:val="left" w:pos="312"/>
        </w:tabs>
      </w:pPr>
    </w:lvl>
  </w:abstractNum>
  <w:abstractNum w:abstractNumId="1">
    <w:nsid w:val="4CC05DB6"/>
    <w:multiLevelType w:val="singleLevel"/>
    <w:tmpl w:val="4CC05DB6"/>
    <w:lvl w:ilvl="0" w:tentative="0">
      <w:start w:val="1"/>
      <w:numFmt w:val="chineseCounting"/>
      <w:suff w:val="nothing"/>
      <w:lvlText w:val="%1、"/>
      <w:lvlJc w:val="left"/>
      <w:pPr>
        <w:ind w:left="0" w:firstLine="420"/>
      </w:pPr>
      <w:rPr>
        <w:rFonts w:hint="eastAsia"/>
      </w:rPr>
    </w:lvl>
  </w:abstractNum>
  <w:abstractNum w:abstractNumId="2">
    <w:nsid w:val="4D64675D"/>
    <w:multiLevelType w:val="singleLevel"/>
    <w:tmpl w:val="4D64675D"/>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95563"/>
    <w:rsid w:val="0DF9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2023-05-09T06:24:00Z</dcterms:created>
  <dc:creator>中华人民共和国交通运输部</dc:creator>
  <cp:lastModifiedBy>中华人民共和国交通运输部</cp:lastModifiedBy>
  <dcterms:modified xsi:type="dcterms:W3CDTF">2023-05-09T06:25:45Z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