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ayout w:type="fixed"/>
        <w:tblCellMar>
          <w:left w:w="0" w:type="dxa"/>
          <w:right w:w="0" w:type="dxa"/>
        </w:tblCellMar>
        <w:tblLook w:val="04A0" w:firstRow="1" w:lastRow="0" w:firstColumn="1" w:lastColumn="0" w:noHBand="0" w:noVBand="1"/>
      </w:tblPr>
      <w:tblGrid>
        <w:gridCol w:w="8844"/>
      </w:tblGrid>
      <w:tr w:rsidR="00BC0937">
        <w:trPr>
          <w:trHeight w:hRule="exact" w:val="607"/>
          <w:jc w:val="center"/>
        </w:trPr>
        <w:tc>
          <w:tcPr>
            <w:tcW w:w="8844" w:type="dxa"/>
            <w:tcBorders>
              <w:tl2br w:val="nil"/>
              <w:tr2bl w:val="nil"/>
            </w:tcBorders>
          </w:tcPr>
          <w:p w:rsidR="00BC0937" w:rsidRDefault="00AC2C26">
            <w:pPr>
              <w:tabs>
                <w:tab w:val="left" w:pos="826"/>
              </w:tabs>
              <w:adjustRightInd/>
              <w:spacing w:afterLines="50" w:after="289"/>
              <w:jc w:val="left"/>
              <w:rPr>
                <w:rFonts w:ascii="GWZT-EN" w:eastAsia="方正小标宋_GBK" w:hAnsi="方正小标宋_GBK" w:cs="方正小标宋_GBK" w:hint="default"/>
                <w:position w:val="19"/>
                <w:sz w:val="44"/>
                <w:szCs w:val="44"/>
              </w:rPr>
            </w:pPr>
            <w:r>
              <w:rPr>
                <w:rFonts w:ascii="GWZT-EN" w:eastAsia="方正小标宋_GBK" w:hAnsi="方正小标宋_GBK" w:cs="方正小标宋_GBK"/>
                <w:position w:val="19"/>
                <w:sz w:val="44"/>
                <w:szCs w:val="44"/>
              </w:rPr>
              <w:tab/>
            </w:r>
          </w:p>
        </w:tc>
      </w:tr>
      <w:tr w:rsidR="00BC0937">
        <w:trPr>
          <w:trHeight w:val="459"/>
          <w:jc w:val="center"/>
        </w:trPr>
        <w:tc>
          <w:tcPr>
            <w:tcW w:w="8844" w:type="dxa"/>
            <w:tcBorders>
              <w:tl2br w:val="nil"/>
              <w:tr2bl w:val="nil"/>
            </w:tcBorders>
          </w:tcPr>
          <w:p w:rsidR="00BC0937" w:rsidRDefault="00AC2C26">
            <w:pPr>
              <w:adjustRightInd/>
              <w:jc w:val="center"/>
              <w:rPr>
                <w:rFonts w:ascii="GWZT-EN" w:eastAsia="方正小标宋_GBK" w:hAnsi="方正小标宋_GBK" w:cs="方正小标宋_GBK" w:hint="default"/>
                <w:b/>
                <w:bCs/>
                <w:spacing w:val="-11"/>
                <w:sz w:val="44"/>
                <w:szCs w:val="44"/>
              </w:rPr>
            </w:pPr>
            <w:r>
              <w:rPr>
                <w:rFonts w:ascii="GWZT-EN" w:eastAsia="方正小标宋_GBK" w:hAnsi="方正小标宋_GBK" w:cs="方正小标宋_GBK"/>
                <w:b/>
                <w:bCs/>
                <w:spacing w:val="-11"/>
                <w:sz w:val="44"/>
                <w:szCs w:val="44"/>
              </w:rPr>
              <w:t>交通运输部工程研究与技术</w:t>
            </w:r>
          </w:p>
          <w:p w:rsidR="00BC0937" w:rsidRDefault="00AC2C26">
            <w:pPr>
              <w:adjustRightInd/>
              <w:jc w:val="center"/>
              <w:rPr>
                <w:rFonts w:ascii="GWZT-EN" w:eastAsia="GWZT-EN" w:hAnsi="GWZT-EN" w:cs="GWZT-EN" w:hint="default"/>
                <w:sz w:val="44"/>
                <w:szCs w:val="44"/>
              </w:rPr>
            </w:pPr>
            <w:r>
              <w:rPr>
                <w:rFonts w:ascii="GWZT-EN" w:eastAsia="方正小标宋_GBK" w:hAnsi="方正小标宋_GBK" w:cs="方正小标宋_GBK"/>
                <w:b/>
                <w:bCs/>
                <w:spacing w:val="-11"/>
                <w:sz w:val="44"/>
                <w:szCs w:val="44"/>
              </w:rPr>
              <w:t>创新中心管理办法</w:t>
            </w:r>
          </w:p>
        </w:tc>
      </w:tr>
      <w:tr w:rsidR="00BC0937">
        <w:trPr>
          <w:trHeight w:hRule="exact" w:val="329"/>
          <w:jc w:val="center"/>
        </w:trPr>
        <w:tc>
          <w:tcPr>
            <w:tcW w:w="8844" w:type="dxa"/>
            <w:tcBorders>
              <w:tl2br w:val="nil"/>
              <w:tr2bl w:val="nil"/>
            </w:tcBorders>
          </w:tcPr>
          <w:p w:rsidR="00BC0937" w:rsidRDefault="00BC0937">
            <w:pPr>
              <w:adjustRightInd/>
              <w:jc w:val="center"/>
              <w:rPr>
                <w:rFonts w:ascii="GWZT-EN" w:eastAsia="方正小标宋_GBK" w:hAnsi="方正小标宋_GBK" w:cs="方正小标宋_GBK" w:hint="default"/>
                <w:sz w:val="44"/>
                <w:szCs w:val="44"/>
              </w:rPr>
            </w:pPr>
          </w:p>
        </w:tc>
      </w:tr>
    </w:tbl>
    <w:p w:rsidR="00BC0937" w:rsidRDefault="00AC2C26">
      <w:pPr>
        <w:spacing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第一章  总    则</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第一条</w:t>
      </w:r>
      <w:r>
        <w:rPr>
          <w:rFonts w:ascii="GWZT-EN" w:hAnsi="GWZT-EN" w:cs="方正仿宋_GBK"/>
          <w:b/>
          <w:bCs/>
        </w:rPr>
        <w:t xml:space="preserve">  </w:t>
      </w:r>
      <w:r>
        <w:rPr>
          <w:rFonts w:ascii="GWZT-EN" w:hAnsi="GWZT-EN" w:cs="方正仿宋_GBK"/>
          <w:b/>
          <w:bCs/>
        </w:rPr>
        <w:t>为规范和加强交</w:t>
      </w:r>
      <w:bookmarkStart w:id="0" w:name="_GoBack"/>
      <w:bookmarkEnd w:id="0"/>
      <w:r>
        <w:rPr>
          <w:rFonts w:ascii="GWZT-EN" w:hAnsi="GWZT-EN" w:cs="方正仿宋_GBK"/>
          <w:b/>
          <w:bCs/>
        </w:rPr>
        <w:t>通运输部工程研究与技术创新中心（以下简称创新中心）的建设和运行管理，制定本办法。</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第二条</w:t>
      </w:r>
      <w:r>
        <w:rPr>
          <w:rFonts w:ascii="GWZT-EN" w:hAnsi="GWZT-EN" w:cs="方正仿宋_GBK"/>
          <w:b/>
          <w:bCs/>
        </w:rPr>
        <w:t xml:space="preserve">  </w:t>
      </w:r>
      <w:r>
        <w:rPr>
          <w:rFonts w:ascii="GWZT-EN" w:hAnsi="GWZT-EN" w:cs="方正仿宋_GBK"/>
          <w:b/>
          <w:bCs/>
        </w:rPr>
        <w:t>创新中心是交通运输领域科技创新体系的重要组成部分，是支撑国家重大战略实施和重大工程建设，统筹开展关键技术攻关和实验研究、重大科技成果工程化和系统集成、技术标准制定等的部级科技创新平台。</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第三条</w:t>
      </w:r>
      <w:r>
        <w:rPr>
          <w:rFonts w:ascii="GWZT-EN" w:hAnsi="GWZT-EN" w:cs="方正仿宋_GBK"/>
          <w:b/>
          <w:bCs/>
        </w:rPr>
        <w:t xml:space="preserve">  </w:t>
      </w:r>
      <w:r>
        <w:rPr>
          <w:rFonts w:ascii="GWZT-EN" w:hAnsi="GWZT-EN" w:cs="方正仿宋_GBK"/>
          <w:b/>
          <w:bCs/>
        </w:rPr>
        <w:t>创新中心必须坚持党的全面领导，贯彻党的理论和路线方针，落实党中央决策部署和交通运输部党组工作要求，坚持政治引领，深化理论武装，强化党风廉政建设。坚持面向世界科技前沿、面向经济主战场、面向国家重大需求、面向人民生命健康，聚焦服务智能综合立体交通网建设和一体化融合、安全化提升、数智化升级、绿色化转型，着力打造使命定位清晰、体制机制创新、科研成效显著、优秀人才辈出的交通运输领域科技领军力量。</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第四条</w:t>
      </w:r>
      <w:r>
        <w:rPr>
          <w:rFonts w:ascii="GWZT-EN" w:hAnsi="GWZT-EN" w:cs="方正仿宋_GBK"/>
          <w:b/>
          <w:bCs/>
        </w:rPr>
        <w:t xml:space="preserve">  </w:t>
      </w:r>
      <w:r>
        <w:rPr>
          <w:rFonts w:ascii="GWZT-EN" w:hAnsi="GWZT-EN" w:cs="方正仿宋_GBK"/>
          <w:b/>
          <w:bCs/>
        </w:rPr>
        <w:t>创新中心一般应采用法人形式组建和运行。对于</w:t>
      </w:r>
      <w:r>
        <w:rPr>
          <w:rFonts w:ascii="GWZT-EN" w:hAnsi="GWZT-EN" w:cs="方正仿宋_GBK"/>
          <w:b/>
          <w:bCs/>
        </w:rPr>
        <w:lastRenderedPageBreak/>
        <w:t>采取非法人形式组建的创新中心，需要实体化运行，建立完善的运行管理制度，做到人员队伍明确、财务资产清晰、组织协同紧密，实行“开放、流动、合作、竞争”的运行机制。</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第五条</w:t>
      </w:r>
      <w:r>
        <w:rPr>
          <w:rFonts w:ascii="GWZT-EN" w:hAnsi="GWZT-EN" w:cs="方正仿宋_GBK"/>
          <w:b/>
          <w:bCs/>
        </w:rPr>
        <w:t xml:space="preserve">  </w:t>
      </w:r>
      <w:r>
        <w:rPr>
          <w:rFonts w:ascii="GWZT-EN" w:hAnsi="GWZT-EN" w:cs="方正仿宋_GBK"/>
          <w:b/>
          <w:bCs/>
        </w:rPr>
        <w:t>本办法适用于创新中心的申报、建设、运行和评估等管理工作。</w:t>
      </w:r>
    </w:p>
    <w:p w:rsidR="00BC0937" w:rsidRDefault="00AC2C26">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第二章  职    责</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第六条</w:t>
      </w:r>
      <w:r>
        <w:rPr>
          <w:rFonts w:ascii="GWZT-EN" w:hAnsi="GWZT-EN" w:cs="方正仿宋_GBK"/>
          <w:b/>
          <w:bCs/>
        </w:rPr>
        <w:t xml:space="preserve">  </w:t>
      </w:r>
      <w:r>
        <w:rPr>
          <w:rFonts w:ascii="GWZT-EN" w:hAnsi="GWZT-EN" w:cs="方正仿宋_GBK"/>
          <w:b/>
          <w:bCs/>
        </w:rPr>
        <w:t>交通运输部是创新中心的管理部门，主要负责：</w:t>
      </w:r>
    </w:p>
    <w:p w:rsidR="00BC0937" w:rsidRDefault="00AC2C26">
      <w:pPr>
        <w:ind w:firstLineChars="200" w:firstLine="632"/>
        <w:rPr>
          <w:rFonts w:ascii="GWZT-EN" w:hAnsi="GWZT-EN" w:cs="方正仿宋_GBK" w:hint="default"/>
          <w:b/>
          <w:bCs/>
        </w:rPr>
      </w:pPr>
      <w:r>
        <w:rPr>
          <w:rFonts w:ascii="GWZT-EN" w:hAnsi="GWZT-EN" w:cs="方正仿宋_GBK"/>
          <w:b/>
          <w:bCs/>
        </w:rPr>
        <w:t>（一）统筹管理创新中心的建设和运行，研究制定和组织实施建设方案，制定管理制度，规划布局方向，发布建设指南。</w:t>
      </w:r>
    </w:p>
    <w:p w:rsidR="00BC0937" w:rsidRDefault="00AC2C26">
      <w:pPr>
        <w:ind w:firstLineChars="200" w:firstLine="632"/>
        <w:rPr>
          <w:rFonts w:ascii="GWZT-EN" w:hAnsi="GWZT-EN" w:cs="方正仿宋_GBK" w:hint="default"/>
          <w:b/>
          <w:bCs/>
        </w:rPr>
      </w:pPr>
      <w:r>
        <w:rPr>
          <w:rFonts w:ascii="GWZT-EN" w:hAnsi="GWZT-EN" w:cs="方正仿宋_GBK"/>
          <w:b/>
          <w:bCs/>
        </w:rPr>
        <w:t>（二）按程序批准创新中心的设立、调整、撤销，组织开展验收和评估。</w:t>
      </w:r>
    </w:p>
    <w:p w:rsidR="00BC0937" w:rsidRDefault="00AC2C26">
      <w:pPr>
        <w:ind w:firstLineChars="200" w:firstLine="632"/>
        <w:rPr>
          <w:rFonts w:ascii="GWZT-EN" w:hAnsi="GWZT-EN" w:cs="方正仿宋_GBK" w:hint="default"/>
          <w:b/>
          <w:bCs/>
        </w:rPr>
      </w:pPr>
      <w:r>
        <w:rPr>
          <w:rFonts w:ascii="GWZT-EN" w:hAnsi="GWZT-EN" w:cs="方正仿宋_GBK"/>
          <w:b/>
          <w:bCs/>
        </w:rPr>
        <w:t>（三）根据中央财政关于部级科技创新平台资金政策对创新中心建设和运行予以支持。</w:t>
      </w:r>
    </w:p>
    <w:p w:rsidR="00BC0937" w:rsidRDefault="00AC2C26">
      <w:pPr>
        <w:ind w:firstLineChars="200" w:firstLine="632"/>
        <w:rPr>
          <w:rFonts w:ascii="GWZT-EN" w:hAnsi="GWZT-EN" w:cs="方正仿宋_GBK" w:hint="default"/>
          <w:b/>
          <w:bCs/>
        </w:rPr>
      </w:pPr>
      <w:r>
        <w:rPr>
          <w:rFonts w:ascii="GWZT-EN" w:hAnsi="GWZT-EN" w:cs="方正仿宋_GBK"/>
          <w:b/>
          <w:bCs/>
        </w:rPr>
        <w:t>交通运输部相关内设机构加强对创新中心的业务指导，配合开展创新中心的设立、建设、验收、评估和撤销。</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第七条</w:t>
      </w:r>
      <w:r>
        <w:rPr>
          <w:rFonts w:ascii="GWZT-EN" w:hAnsi="GWZT-EN" w:cs="方正仿宋_GBK"/>
          <w:b/>
          <w:bCs/>
        </w:rPr>
        <w:t xml:space="preserve">  </w:t>
      </w:r>
      <w:r>
        <w:rPr>
          <w:rFonts w:ascii="GWZT-EN" w:hAnsi="GWZT-EN" w:cs="方正仿宋_GBK"/>
          <w:b/>
          <w:bCs/>
        </w:rPr>
        <w:t>省级交通运输主管部门、部属单位、共建高校、中央管理的大型交通运输企业是创新中心的协助管理机构（以下简称协助管理机构），主要负责：</w:t>
      </w:r>
    </w:p>
    <w:p w:rsidR="00BC0937" w:rsidRDefault="00AC2C26">
      <w:pPr>
        <w:ind w:firstLineChars="200" w:firstLine="632"/>
        <w:rPr>
          <w:rFonts w:ascii="GWZT-EN" w:hAnsi="GWZT-EN" w:cs="方正仿宋_GBK" w:hint="default"/>
          <w:b/>
          <w:bCs/>
        </w:rPr>
      </w:pPr>
      <w:r>
        <w:rPr>
          <w:rFonts w:ascii="GWZT-EN" w:hAnsi="GWZT-EN" w:cs="方正仿宋_GBK"/>
          <w:b/>
          <w:bCs/>
        </w:rPr>
        <w:t>（一）制定本地区本单位的创新中心管理细则，指导和监督所辖单位（包括本单位）创新中心建设和运行管理，协调解决创新中心建设和运行中的重大问题。</w:t>
      </w:r>
    </w:p>
    <w:p w:rsidR="00BC0937" w:rsidRDefault="00AC2C26">
      <w:pPr>
        <w:ind w:firstLineChars="200" w:firstLine="632"/>
        <w:rPr>
          <w:rFonts w:ascii="GWZT-EN" w:hAnsi="GWZT-EN" w:cs="方正仿宋_GBK" w:hint="default"/>
          <w:b/>
          <w:bCs/>
        </w:rPr>
      </w:pPr>
      <w:r>
        <w:rPr>
          <w:rFonts w:ascii="GWZT-EN" w:hAnsi="GWZT-EN" w:cs="方正仿宋_GBK"/>
          <w:b/>
          <w:bCs/>
        </w:rPr>
        <w:lastRenderedPageBreak/>
        <w:t>（二）建立支持创新中心建设发展的工作机制，协调落实政策、经费、项目、基础设施等支持保障。</w:t>
      </w:r>
    </w:p>
    <w:p w:rsidR="00BC0937" w:rsidRDefault="00AC2C26">
      <w:pPr>
        <w:ind w:firstLineChars="200" w:firstLine="632"/>
        <w:rPr>
          <w:rFonts w:ascii="GWZT-EN" w:hAnsi="GWZT-EN" w:cs="方正仿宋_GBK" w:hint="default"/>
          <w:b/>
          <w:bCs/>
        </w:rPr>
      </w:pPr>
      <w:r>
        <w:rPr>
          <w:rFonts w:ascii="GWZT-EN" w:hAnsi="GWZT-EN" w:cs="方正仿宋_GBK"/>
          <w:b/>
          <w:bCs/>
        </w:rPr>
        <w:t>（三）聘任创新中心主任并向交通运输部报备。</w:t>
      </w:r>
    </w:p>
    <w:p w:rsidR="00BC0937" w:rsidRDefault="00AC2C26">
      <w:pPr>
        <w:ind w:firstLineChars="200" w:firstLine="632"/>
        <w:rPr>
          <w:rFonts w:ascii="GWZT-EN" w:hAnsi="GWZT-EN" w:cs="方正仿宋_GBK" w:hint="default"/>
          <w:b/>
          <w:bCs/>
        </w:rPr>
      </w:pPr>
      <w:r>
        <w:rPr>
          <w:rFonts w:ascii="GWZT-EN" w:hAnsi="GWZT-EN" w:cs="方正仿宋_GBK"/>
          <w:b/>
          <w:bCs/>
        </w:rPr>
        <w:t>（四）协助交通运输部审核创新中心有关重大事项，配合做好创新中心年度评价、考核评估和监督检查等工作，审核并向交通运输部报送创新中心年度工作报告。</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第八条</w:t>
      </w:r>
      <w:r>
        <w:rPr>
          <w:rFonts w:ascii="GWZT-EN" w:hAnsi="GWZT-EN" w:cs="方正仿宋_GBK"/>
          <w:b/>
          <w:bCs/>
        </w:rPr>
        <w:t xml:space="preserve">  </w:t>
      </w:r>
      <w:r>
        <w:rPr>
          <w:rFonts w:ascii="GWZT-EN" w:hAnsi="GWZT-EN" w:cs="方正仿宋_GBK"/>
          <w:b/>
          <w:bCs/>
        </w:rPr>
        <w:t>创新中心所在高校、科研院所和企事业等法人单位是创新中心的建设单位，主要负责：</w:t>
      </w:r>
    </w:p>
    <w:p w:rsidR="00BC0937" w:rsidRDefault="00AC2C26">
      <w:pPr>
        <w:ind w:firstLineChars="200" w:firstLine="632"/>
        <w:rPr>
          <w:rFonts w:ascii="GWZT-EN" w:hAnsi="GWZT-EN" w:cs="方正仿宋_GBK" w:hint="default"/>
          <w:b/>
          <w:bCs/>
        </w:rPr>
      </w:pPr>
      <w:r>
        <w:rPr>
          <w:rFonts w:ascii="GWZT-EN" w:hAnsi="GWZT-EN" w:cs="方正仿宋_GBK"/>
          <w:b/>
          <w:bCs/>
        </w:rPr>
        <w:t>（一）承担创新中心建设运行的日常管理，配合交通运输部和协助管理机构做好验收、评估和监督检查。</w:t>
      </w:r>
    </w:p>
    <w:p w:rsidR="00BC0937" w:rsidRDefault="00AC2C26">
      <w:pPr>
        <w:ind w:firstLineChars="200" w:firstLine="632"/>
        <w:rPr>
          <w:rFonts w:ascii="GWZT-EN" w:hAnsi="GWZT-EN" w:cs="方正仿宋_GBK" w:hint="default"/>
          <w:b/>
          <w:bCs/>
        </w:rPr>
      </w:pPr>
      <w:r>
        <w:rPr>
          <w:rFonts w:ascii="GWZT-EN" w:hAnsi="GWZT-EN" w:cs="方正仿宋_GBK"/>
          <w:b/>
          <w:bCs/>
        </w:rPr>
        <w:t>（二）推荐创新中心主任，聘任创新中心副主任，落实主任负责制。聘任创新中心技术委员会主任和委员。</w:t>
      </w:r>
    </w:p>
    <w:p w:rsidR="00BC0937" w:rsidRDefault="00AC2C26">
      <w:pPr>
        <w:ind w:firstLineChars="200" w:firstLine="632"/>
        <w:rPr>
          <w:rFonts w:ascii="GWZT-EN" w:hAnsi="GWZT-EN" w:cs="方正仿宋_GBK" w:hint="default"/>
          <w:b/>
          <w:bCs/>
        </w:rPr>
      </w:pPr>
      <w:r>
        <w:rPr>
          <w:rFonts w:ascii="GWZT-EN" w:hAnsi="GWZT-EN" w:cs="方正仿宋_GBK"/>
          <w:b/>
          <w:bCs/>
        </w:rPr>
        <w:t>（三）落实实体化运行，做好创新中心人才队伍、支持经费、科研场地、仪器设备、知识产权、安全保密等运行管理和条件保障工作，解决建设和运行中的有关问题。</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第九条</w:t>
      </w:r>
      <w:r>
        <w:rPr>
          <w:rFonts w:ascii="GWZT-EN" w:hAnsi="GWZT-EN" w:cs="方正仿宋_GBK"/>
          <w:b/>
          <w:bCs/>
        </w:rPr>
        <w:t xml:space="preserve">  </w:t>
      </w:r>
      <w:r>
        <w:rPr>
          <w:rFonts w:ascii="GWZT-EN" w:hAnsi="GWZT-EN" w:cs="方正仿宋_GBK"/>
          <w:b/>
          <w:bCs/>
        </w:rPr>
        <w:t>创新中心主要负责：</w:t>
      </w:r>
    </w:p>
    <w:p w:rsidR="00BC0937" w:rsidRDefault="00AC2C26">
      <w:pPr>
        <w:ind w:firstLineChars="200" w:firstLine="632"/>
        <w:rPr>
          <w:rFonts w:ascii="GWZT-EN" w:hAnsi="GWZT-EN" w:cs="方正仿宋_GBK" w:hint="default"/>
          <w:b/>
          <w:bCs/>
        </w:rPr>
      </w:pPr>
      <w:r>
        <w:rPr>
          <w:rFonts w:ascii="GWZT-EN" w:hAnsi="GWZT-EN" w:cs="方正仿宋_GBK"/>
          <w:b/>
          <w:bCs/>
        </w:rPr>
        <w:t>（一）围绕方向目标和建设任务，主动承担和完成交通运输部下达的科研任务，积极参与国家、省部级重大科技项目与重大工程。加强中试能力建设，推动技术转移和扩散，促进科研成果转化应用。</w:t>
      </w:r>
    </w:p>
    <w:p w:rsidR="00BC0937" w:rsidRDefault="00AC2C26">
      <w:pPr>
        <w:ind w:firstLineChars="200" w:firstLine="632"/>
        <w:rPr>
          <w:rFonts w:ascii="GWZT-EN" w:hAnsi="GWZT-EN" w:cs="方正仿宋_GBK" w:hint="default"/>
          <w:b/>
          <w:bCs/>
          <w:spacing w:val="-6"/>
        </w:rPr>
      </w:pPr>
      <w:r>
        <w:rPr>
          <w:rFonts w:ascii="GWZT-EN" w:hAnsi="GWZT-EN" w:cs="方正仿宋_GBK"/>
          <w:b/>
          <w:bCs/>
        </w:rPr>
        <w:t>（二）</w:t>
      </w:r>
      <w:r>
        <w:rPr>
          <w:rFonts w:ascii="GWZT-EN" w:hAnsi="GWZT-EN" w:cs="方正仿宋_GBK"/>
          <w:b/>
          <w:bCs/>
          <w:spacing w:val="-6"/>
        </w:rPr>
        <w:t>强化企业科技创新主体地位，形成企业主导、产学研用深度融合的关键核心技术攻关、成果转化、多元投入新模式和新机</w:t>
      </w:r>
      <w:r>
        <w:rPr>
          <w:rFonts w:ascii="GWZT-EN" w:hAnsi="GWZT-EN" w:cs="方正仿宋_GBK"/>
          <w:b/>
          <w:bCs/>
          <w:spacing w:val="-6"/>
        </w:rPr>
        <w:lastRenderedPageBreak/>
        <w:t>制。</w:t>
      </w:r>
    </w:p>
    <w:p w:rsidR="00BC0937" w:rsidRDefault="00AC2C26">
      <w:pPr>
        <w:ind w:firstLineChars="200" w:firstLine="632"/>
        <w:rPr>
          <w:rFonts w:ascii="GWZT-EN" w:hAnsi="GWZT-EN" w:cs="方正仿宋_GBK" w:hint="default"/>
          <w:b/>
          <w:bCs/>
        </w:rPr>
      </w:pPr>
      <w:r>
        <w:rPr>
          <w:rFonts w:ascii="GWZT-EN" w:hAnsi="GWZT-EN" w:cs="方正仿宋_GBK"/>
          <w:b/>
          <w:bCs/>
        </w:rPr>
        <w:t>（三）打造高水平科研人才队伍，加强高层次人才引进，强化青年人才培养，构建合理有序的人才流动机制，形成持续创新能力。</w:t>
      </w:r>
    </w:p>
    <w:p w:rsidR="00BC0937" w:rsidRDefault="00AC2C26">
      <w:pPr>
        <w:ind w:firstLineChars="200" w:firstLine="632"/>
        <w:rPr>
          <w:rFonts w:ascii="GWZT-EN" w:hAnsi="GWZT-EN" w:cs="方正仿宋_GBK" w:hint="default"/>
          <w:b/>
          <w:bCs/>
        </w:rPr>
      </w:pPr>
      <w:r>
        <w:rPr>
          <w:rFonts w:ascii="GWZT-EN" w:hAnsi="GWZT-EN" w:cs="方正仿宋_GBK"/>
          <w:b/>
          <w:bCs/>
        </w:rPr>
        <w:t>（四）建立访问学者制度，设置开放课题，开放共享大型科研仪器和科学数据等科技资源。积极开展国际科技交流合作，积极参加国际学术组织。</w:t>
      </w:r>
    </w:p>
    <w:p w:rsidR="00BC0937" w:rsidRDefault="00AC2C26">
      <w:pPr>
        <w:ind w:firstLineChars="200" w:firstLine="632"/>
        <w:rPr>
          <w:rFonts w:ascii="GWZT-EN" w:hAnsi="GWZT-EN" w:cs="方正仿宋_GBK" w:hint="default"/>
          <w:b/>
          <w:bCs/>
        </w:rPr>
      </w:pPr>
      <w:r>
        <w:rPr>
          <w:rFonts w:ascii="GWZT-EN" w:hAnsi="GWZT-EN" w:cs="方正仿宋_GBK"/>
          <w:b/>
          <w:bCs/>
        </w:rPr>
        <w:t>（五）加强学风作风和科研诚信建设，大力弘扬科学家精神，积极开展科学技术普及，营造包容民主、潜心研究、开放协同的创新环境。</w:t>
      </w:r>
    </w:p>
    <w:p w:rsidR="00BC0937" w:rsidRDefault="00AC2C26">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第三章  建    设</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第十条</w:t>
      </w:r>
      <w:r>
        <w:rPr>
          <w:rFonts w:ascii="GWZT-EN" w:hAnsi="GWZT-EN" w:cs="方正仿宋_GBK"/>
          <w:b/>
          <w:bCs/>
        </w:rPr>
        <w:t xml:space="preserve">  </w:t>
      </w:r>
      <w:r>
        <w:rPr>
          <w:rFonts w:ascii="GWZT-EN" w:hAnsi="GWZT-EN" w:cs="方正仿宋_GBK"/>
          <w:b/>
          <w:bCs/>
        </w:rPr>
        <w:t>交通运输部根据创新中心建设方案，有计划、分批次开展建设，保持创新中心总体规模稳定、适度。</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第十一条</w:t>
      </w:r>
      <w:r>
        <w:rPr>
          <w:rFonts w:ascii="GWZT-EN" w:hAnsi="GWZT-EN" w:cs="方正仿宋_GBK"/>
          <w:b/>
          <w:bCs/>
        </w:rPr>
        <w:t xml:space="preserve">  </w:t>
      </w:r>
      <w:r>
        <w:rPr>
          <w:rFonts w:ascii="GWZT-EN" w:hAnsi="GWZT-EN" w:cs="方正仿宋_GBK"/>
          <w:b/>
          <w:bCs/>
        </w:rPr>
        <w:t>申请建设创新中心须具备以下条件：</w:t>
      </w:r>
    </w:p>
    <w:p w:rsidR="00BC0937" w:rsidRDefault="00AC2C26">
      <w:pPr>
        <w:ind w:firstLineChars="200" w:firstLine="632"/>
        <w:rPr>
          <w:rFonts w:ascii="GWZT-EN" w:hAnsi="GWZT-EN" w:cs="方正仿宋_GBK" w:hint="default"/>
          <w:b/>
          <w:bCs/>
        </w:rPr>
      </w:pPr>
      <w:r>
        <w:rPr>
          <w:rFonts w:ascii="GWZT-EN" w:hAnsi="GWZT-EN" w:cs="方正仿宋_GBK"/>
          <w:b/>
          <w:bCs/>
        </w:rPr>
        <w:t>（一）建设单位可由多家单位（不超过</w:t>
      </w:r>
      <w:r>
        <w:rPr>
          <w:rFonts w:ascii="GWZT-EN" w:hAnsi="GWZT-EN" w:cs="方正仿宋_GBK"/>
          <w:b/>
          <w:bCs/>
        </w:rPr>
        <w:t>5</w:t>
      </w:r>
      <w:r>
        <w:rPr>
          <w:rFonts w:ascii="GWZT-EN" w:hAnsi="GWZT-EN" w:cs="方正仿宋_GBK"/>
          <w:b/>
          <w:bCs/>
        </w:rPr>
        <w:t>家）联合组成，原则上应由</w:t>
      </w:r>
      <w:r>
        <w:rPr>
          <w:rFonts w:ascii="GWZT-EN" w:hAnsi="GWZT-EN" w:cs="方正仿宋_GBK"/>
          <w:b/>
          <w:bCs/>
        </w:rPr>
        <w:t>1</w:t>
      </w:r>
      <w:r>
        <w:rPr>
          <w:rFonts w:ascii="GWZT-EN" w:hAnsi="GWZT-EN" w:cs="方正仿宋_GBK"/>
          <w:b/>
          <w:bCs/>
        </w:rPr>
        <w:t>家科技领军或行业龙头企事业单位牵头，牵头建设单位与共建单位间以协议方式明确建设和管理职责。</w:t>
      </w:r>
    </w:p>
    <w:p w:rsidR="00BC0937" w:rsidRDefault="00AC2C26">
      <w:pPr>
        <w:ind w:firstLineChars="200" w:firstLine="632"/>
        <w:rPr>
          <w:rFonts w:ascii="GWZT-EN" w:hAnsi="GWZT-EN" w:cs="方正仿宋_GBK" w:hint="default"/>
          <w:b/>
          <w:bCs/>
        </w:rPr>
      </w:pPr>
      <w:r>
        <w:rPr>
          <w:rFonts w:ascii="GWZT-EN" w:hAnsi="GWZT-EN" w:cs="方正仿宋_GBK"/>
          <w:b/>
          <w:bCs/>
        </w:rPr>
        <w:t>（二）研究方向符合加快建设交通强国的总体要求和创新中心布局方向。</w:t>
      </w:r>
    </w:p>
    <w:p w:rsidR="00BC0937" w:rsidRDefault="00AC2C26">
      <w:pPr>
        <w:ind w:firstLineChars="200" w:firstLine="632"/>
        <w:rPr>
          <w:rFonts w:ascii="GWZT-EN" w:hAnsi="GWZT-EN" w:cs="方正仿宋_GBK" w:hint="default"/>
          <w:b/>
          <w:bCs/>
        </w:rPr>
      </w:pPr>
      <w:r>
        <w:rPr>
          <w:rFonts w:ascii="GWZT-EN" w:hAnsi="GWZT-EN" w:cs="方正仿宋_GBK"/>
          <w:b/>
          <w:bCs/>
        </w:rPr>
        <w:t>（三）具有一批有待工程化开发、拥有自主知识产权和良好市场前景、处于国内领先水平的重大科技成果。</w:t>
      </w:r>
    </w:p>
    <w:p w:rsidR="00BC0937" w:rsidRDefault="00AC2C26">
      <w:pPr>
        <w:ind w:firstLineChars="200" w:firstLine="632"/>
        <w:rPr>
          <w:rFonts w:ascii="GWZT-EN" w:hAnsi="GWZT-EN" w:cs="方正仿宋_GBK" w:hint="default"/>
          <w:b/>
          <w:bCs/>
        </w:rPr>
      </w:pPr>
      <w:r>
        <w:rPr>
          <w:rFonts w:ascii="GWZT-EN" w:hAnsi="GWZT-EN" w:cs="方正仿宋_GBK"/>
          <w:b/>
          <w:bCs/>
        </w:rPr>
        <w:lastRenderedPageBreak/>
        <w:t>（四）具有以市场为导向、能够将重大科技成果向规模生产转化的工程化研究验证环境和能力，能够通过市场机制实现技术转移和扩散，促进科技成果产业化。</w:t>
      </w:r>
    </w:p>
    <w:p w:rsidR="00BC0937" w:rsidRDefault="00AC2C26">
      <w:pPr>
        <w:ind w:firstLineChars="200" w:firstLine="632"/>
        <w:rPr>
          <w:rFonts w:ascii="GWZT-EN" w:hAnsi="GWZT-EN" w:cs="方正仿宋_GBK" w:hint="default"/>
          <w:b/>
          <w:bCs/>
        </w:rPr>
      </w:pPr>
      <w:r>
        <w:rPr>
          <w:rFonts w:ascii="GWZT-EN" w:hAnsi="GWZT-EN" w:cs="方正仿宋_GBK"/>
          <w:b/>
          <w:bCs/>
        </w:rPr>
        <w:t>（五）协助管理机构和建设单位保障有力，能够全面支持创新中心建设和运行。</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第十二条</w:t>
      </w:r>
      <w:r>
        <w:rPr>
          <w:rFonts w:ascii="GWZT-EN" w:hAnsi="GWZT-EN" w:cs="方正仿宋_GBK"/>
          <w:b/>
          <w:bCs/>
        </w:rPr>
        <w:t xml:space="preserve">  </w:t>
      </w:r>
      <w:r>
        <w:rPr>
          <w:rFonts w:ascii="GWZT-EN" w:hAnsi="GWZT-EN" w:cs="方正仿宋_GBK"/>
          <w:b/>
          <w:bCs/>
        </w:rPr>
        <w:t>创新中心批准建设流程是：</w:t>
      </w:r>
    </w:p>
    <w:p w:rsidR="00BC0937" w:rsidRDefault="00AC2C26">
      <w:pPr>
        <w:ind w:firstLineChars="200" w:firstLine="632"/>
        <w:rPr>
          <w:rFonts w:ascii="GWZT-EN" w:hAnsi="GWZT-EN" w:cs="方正仿宋_GBK" w:hint="default"/>
          <w:b/>
          <w:bCs/>
        </w:rPr>
      </w:pPr>
      <w:r>
        <w:rPr>
          <w:rFonts w:ascii="GWZT-EN" w:hAnsi="GWZT-EN" w:cs="方正仿宋_GBK"/>
          <w:b/>
          <w:bCs/>
        </w:rPr>
        <w:t>（一）交通运输部发布创新中心建设指南和申报要求。</w:t>
      </w:r>
    </w:p>
    <w:p w:rsidR="00BC0937" w:rsidRDefault="00AC2C26">
      <w:pPr>
        <w:ind w:firstLineChars="200" w:firstLine="632"/>
        <w:rPr>
          <w:rFonts w:ascii="GWZT-EN" w:hAnsi="GWZT-EN" w:cs="方正仿宋_GBK" w:hint="default"/>
          <w:b/>
          <w:bCs/>
        </w:rPr>
      </w:pPr>
      <w:r>
        <w:rPr>
          <w:rFonts w:ascii="GWZT-EN" w:hAnsi="GWZT-EN" w:cs="方正仿宋_GBK"/>
          <w:b/>
          <w:bCs/>
        </w:rPr>
        <w:t>（二）协助管理机构按照建设指南和申报要求，组织具备条件的单位编写创新中心建设申报书（含建设方案），明确战略定位、发展目标、重点任务、人员队伍以及建设计划等，论证并审核后报交通运输部。</w:t>
      </w:r>
    </w:p>
    <w:p w:rsidR="00BC0937" w:rsidRDefault="00AC2C26">
      <w:pPr>
        <w:ind w:firstLineChars="200" w:firstLine="632"/>
        <w:rPr>
          <w:rFonts w:ascii="GWZT-EN" w:hAnsi="GWZT-EN" w:cs="方正仿宋_GBK" w:hint="default"/>
          <w:b/>
          <w:bCs/>
        </w:rPr>
      </w:pPr>
      <w:r>
        <w:rPr>
          <w:rFonts w:ascii="GWZT-EN" w:hAnsi="GWZT-EN" w:cs="方正仿宋_GBK"/>
          <w:b/>
          <w:bCs/>
        </w:rPr>
        <w:t>（三）交通运输部组织开展专家评议、现场考察后，择优确定拟建设的创新中心并进行公示，对公示无异议的批准开展建设。</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第十三条</w:t>
      </w:r>
      <w:r>
        <w:rPr>
          <w:rFonts w:ascii="GWZT-EN" w:hAnsi="GWZT-EN" w:cs="方正仿宋_GBK"/>
          <w:b/>
          <w:bCs/>
        </w:rPr>
        <w:t xml:space="preserve">  </w:t>
      </w:r>
      <w:r>
        <w:rPr>
          <w:rFonts w:ascii="GWZT-EN" w:hAnsi="GWZT-EN" w:cs="方正仿宋_GBK"/>
          <w:b/>
          <w:bCs/>
        </w:rPr>
        <w:t>创新中心建设期为</w:t>
      </w:r>
      <w:r>
        <w:rPr>
          <w:rFonts w:ascii="GWZT-EN" w:hAnsi="GWZT-EN" w:cs="方正仿宋_GBK"/>
          <w:b/>
          <w:bCs/>
        </w:rPr>
        <w:t>2</w:t>
      </w:r>
      <w:r>
        <w:rPr>
          <w:rFonts w:ascii="GWZT-EN" w:hAnsi="GWZT-EN" w:cs="方正仿宋_GBK"/>
          <w:b/>
          <w:bCs/>
        </w:rPr>
        <w:t>年。建设期满</w:t>
      </w:r>
      <w:r>
        <w:rPr>
          <w:rFonts w:ascii="GWZT-EN" w:hAnsi="GWZT-EN" w:cs="方正仿宋_GBK"/>
          <w:b/>
          <w:bCs/>
        </w:rPr>
        <w:t>6</w:t>
      </w:r>
      <w:r>
        <w:rPr>
          <w:rFonts w:ascii="GWZT-EN" w:hAnsi="GWZT-EN" w:cs="方正仿宋_GBK"/>
          <w:b/>
          <w:bCs/>
        </w:rPr>
        <w:t>个月前，由交通运输部组织预验收。建设期满后，由交通运输部组织验收，通过验收的进入运行期。</w:t>
      </w:r>
    </w:p>
    <w:p w:rsidR="00BC0937" w:rsidRDefault="00AC2C26">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第四章  运    行</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第十四条</w:t>
      </w:r>
      <w:r>
        <w:rPr>
          <w:rFonts w:ascii="GWZT-EN" w:hAnsi="GWZT-EN" w:cs="方正仿宋_GBK"/>
          <w:b/>
          <w:bCs/>
        </w:rPr>
        <w:t xml:space="preserve">  </w:t>
      </w:r>
      <w:r>
        <w:rPr>
          <w:rFonts w:ascii="GWZT-EN" w:hAnsi="GWZT-EN" w:cs="方正仿宋_GBK"/>
          <w:b/>
          <w:bCs/>
        </w:rPr>
        <w:t>创新中心设立由协助管理机构、牵头建设单位、共建单位及科技领军、行业龙头企事业单位代表和具有影响力的专家学者组成的理事会，理事会成员中科技领军或行业</w:t>
      </w:r>
      <w:r>
        <w:rPr>
          <w:rFonts w:ascii="GWZT-EN" w:hAnsi="GWZT-EN" w:cs="方正仿宋_GBK"/>
          <w:b/>
          <w:bCs/>
        </w:rPr>
        <w:lastRenderedPageBreak/>
        <w:t>龙头企事业单位代表占比不少于</w:t>
      </w:r>
      <w:r>
        <w:rPr>
          <w:rFonts w:ascii="GWZT-EN" w:hAnsi="GWZT-EN" w:cs="方正仿宋_GBK"/>
          <w:b/>
          <w:bCs/>
        </w:rPr>
        <w:t>1/3</w:t>
      </w:r>
      <w:r>
        <w:rPr>
          <w:rFonts w:ascii="GWZT-EN" w:hAnsi="GWZT-EN" w:cs="方正仿宋_GBK"/>
          <w:b/>
          <w:bCs/>
        </w:rPr>
        <w:t>。理事会负责决策创新中心建设运行的重大事项，包括审定创新中心发展规划、科技计划、年度工作计划和经费预决算，考核创新中心年度建设运行绩效等。理事会每届任期</w:t>
      </w:r>
      <w:r>
        <w:rPr>
          <w:rFonts w:ascii="GWZT-EN" w:hAnsi="GWZT-EN" w:cs="方正仿宋_GBK"/>
          <w:b/>
          <w:bCs/>
        </w:rPr>
        <w:t>5</w:t>
      </w:r>
      <w:r>
        <w:rPr>
          <w:rFonts w:ascii="GWZT-EN" w:hAnsi="GWZT-EN" w:cs="方正仿宋_GBK"/>
          <w:b/>
          <w:bCs/>
        </w:rPr>
        <w:t>年，每次理事更换比例不少于</w:t>
      </w:r>
      <w:r>
        <w:rPr>
          <w:rFonts w:ascii="GWZT-EN" w:hAnsi="GWZT-EN" w:cs="方正仿宋_GBK"/>
          <w:b/>
          <w:bCs/>
        </w:rPr>
        <w:t>1/3</w:t>
      </w:r>
      <w:r>
        <w:rPr>
          <w:rFonts w:ascii="GWZT-EN" w:hAnsi="GWZT-EN" w:cs="方正仿宋_GBK"/>
          <w:b/>
          <w:bCs/>
        </w:rPr>
        <w:t>。</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第十五条</w:t>
      </w:r>
      <w:r>
        <w:rPr>
          <w:rFonts w:ascii="GWZT-EN" w:hAnsi="GWZT-EN" w:cs="方正仿宋_GBK"/>
          <w:b/>
          <w:bCs/>
        </w:rPr>
        <w:t xml:space="preserve">  </w:t>
      </w:r>
      <w:r>
        <w:rPr>
          <w:rFonts w:ascii="GWZT-EN" w:hAnsi="GWZT-EN" w:cs="方正仿宋_GBK"/>
          <w:b/>
          <w:bCs/>
        </w:rPr>
        <w:t>创新中心实行主任负责制。创新中心主任由政治觉悟高、组织才能突出、管理实践经验丰富的业内公认的科技领军人才担任，全面主持创新中心工作，在科研任务组织实施、技术路线选择、经费和条件配置、工作人员聘任等方面有自主权。鼓励院士、国家高层次人才担任创新中心主任。</w:t>
      </w:r>
    </w:p>
    <w:p w:rsidR="00BC0937" w:rsidRDefault="00AC2C26">
      <w:pPr>
        <w:ind w:firstLineChars="200" w:firstLine="632"/>
        <w:rPr>
          <w:rFonts w:ascii="GWZT-EN" w:hAnsi="GWZT-EN" w:cs="方正仿宋_GBK" w:hint="default"/>
          <w:b/>
          <w:bCs/>
        </w:rPr>
      </w:pPr>
      <w:r>
        <w:rPr>
          <w:rFonts w:ascii="GWZT-EN" w:hAnsi="GWZT-EN" w:cs="方正仿宋_GBK"/>
          <w:b/>
          <w:bCs/>
        </w:rPr>
        <w:t>创新中心主任每届任期</w:t>
      </w:r>
      <w:r>
        <w:rPr>
          <w:rFonts w:ascii="GWZT-EN" w:hAnsi="GWZT-EN" w:cs="方正仿宋_GBK"/>
          <w:b/>
          <w:bCs/>
        </w:rPr>
        <w:t>5</w:t>
      </w:r>
      <w:r>
        <w:rPr>
          <w:rFonts w:ascii="GWZT-EN" w:hAnsi="GWZT-EN" w:cs="方正仿宋_GBK"/>
          <w:b/>
          <w:bCs/>
        </w:rPr>
        <w:t>年，累计任职不超过</w:t>
      </w:r>
      <w:r>
        <w:rPr>
          <w:rFonts w:ascii="GWZT-EN" w:hAnsi="GWZT-EN" w:cs="方正仿宋_GBK"/>
          <w:b/>
          <w:bCs/>
        </w:rPr>
        <w:t>2</w:t>
      </w:r>
      <w:r>
        <w:rPr>
          <w:rFonts w:ascii="GWZT-EN" w:hAnsi="GWZT-EN" w:cs="方正仿宋_GBK"/>
          <w:b/>
          <w:bCs/>
        </w:rPr>
        <w:t>届，任期内一般不超过法定退休年龄。创新中心主任任期内变更、超过法定退休年龄任职等特殊情况须报协助管理机构批准，并报交通运输部备案。</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第十六条</w:t>
      </w:r>
      <w:r>
        <w:rPr>
          <w:rFonts w:ascii="GWZT-EN" w:hAnsi="GWZT-EN" w:cs="方正仿宋_GBK"/>
          <w:b/>
          <w:bCs/>
        </w:rPr>
        <w:t xml:space="preserve">  </w:t>
      </w:r>
      <w:r>
        <w:rPr>
          <w:rFonts w:ascii="GWZT-EN" w:hAnsi="GWZT-EN" w:cs="方正仿宋_GBK"/>
          <w:b/>
          <w:bCs/>
        </w:rPr>
        <w:t>创新中心设立技术委员会。技术委员会负责向理事会提出创新中心重点方向研发任务布局及技术路线、年度科技投入预算等建议，负责论证平台建设与重大科研设备采购、试制方案，负责创新中心科技项目评审、验收并对科技成果转化提出建议。技术委员会会议每年至少召开</w:t>
      </w:r>
      <w:r>
        <w:rPr>
          <w:rFonts w:ascii="GWZT-EN" w:hAnsi="GWZT-EN" w:cs="方正仿宋_GBK"/>
          <w:b/>
          <w:bCs/>
        </w:rPr>
        <w:t>1</w:t>
      </w:r>
      <w:r>
        <w:rPr>
          <w:rFonts w:ascii="GWZT-EN" w:hAnsi="GWZT-EN" w:cs="方正仿宋_GBK"/>
          <w:b/>
          <w:bCs/>
        </w:rPr>
        <w:t>次，每次实到人数不少于总人数的</w:t>
      </w:r>
      <w:r>
        <w:rPr>
          <w:rFonts w:ascii="GWZT-EN" w:hAnsi="GWZT-EN" w:cs="方正仿宋_GBK"/>
          <w:b/>
          <w:bCs/>
        </w:rPr>
        <w:t>2/3</w:t>
      </w:r>
      <w:r>
        <w:rPr>
          <w:rFonts w:ascii="GWZT-EN" w:hAnsi="GWZT-EN" w:cs="方正仿宋_GBK"/>
          <w:b/>
          <w:bCs/>
        </w:rPr>
        <w:t>。</w:t>
      </w:r>
    </w:p>
    <w:p w:rsidR="00BC0937" w:rsidRDefault="00AC2C26">
      <w:pPr>
        <w:ind w:firstLineChars="200" w:firstLine="632"/>
        <w:rPr>
          <w:rFonts w:ascii="GWZT-EN" w:hAnsi="GWZT-EN" w:cs="方正仿宋_GBK" w:hint="default"/>
          <w:b/>
          <w:bCs/>
        </w:rPr>
      </w:pPr>
      <w:r>
        <w:rPr>
          <w:rFonts w:ascii="GWZT-EN" w:hAnsi="GWZT-EN" w:cs="方正仿宋_GBK"/>
          <w:b/>
          <w:bCs/>
        </w:rPr>
        <w:t>技术委员会由国内外高水平专家组成，一般为</w:t>
      </w:r>
      <w:r>
        <w:rPr>
          <w:rFonts w:ascii="GWZT-EN" w:hAnsi="GWZT-EN" w:cs="方正仿宋_GBK"/>
          <w:b/>
          <w:bCs/>
        </w:rPr>
        <w:t>9</w:t>
      </w:r>
      <w:r>
        <w:rPr>
          <w:rFonts w:ascii="GWZT-EN" w:hAnsi="GWZT-EN" w:cs="方正仿宋_GBK"/>
          <w:b/>
          <w:bCs/>
        </w:rPr>
        <w:t>至</w:t>
      </w:r>
      <w:r>
        <w:rPr>
          <w:rFonts w:ascii="GWZT-EN" w:hAnsi="GWZT-EN" w:cs="方正仿宋_GBK"/>
          <w:b/>
          <w:bCs/>
        </w:rPr>
        <w:t>15</w:t>
      </w:r>
      <w:r>
        <w:rPr>
          <w:rFonts w:ascii="GWZT-EN" w:hAnsi="GWZT-EN" w:cs="方正仿宋_GBK"/>
          <w:b/>
          <w:bCs/>
        </w:rPr>
        <w:t>人，其中建设单位人员不超过</w:t>
      </w:r>
      <w:r>
        <w:rPr>
          <w:rFonts w:ascii="GWZT-EN" w:hAnsi="GWZT-EN" w:cs="方正仿宋_GBK"/>
          <w:b/>
          <w:bCs/>
        </w:rPr>
        <w:t>1/3</w:t>
      </w:r>
      <w:r>
        <w:rPr>
          <w:rFonts w:ascii="GWZT-EN" w:hAnsi="GWZT-EN" w:cs="方正仿宋_GBK"/>
          <w:b/>
          <w:bCs/>
        </w:rPr>
        <w:t>。技术委员会主任由创新中心推</w:t>
      </w:r>
      <w:r>
        <w:rPr>
          <w:rFonts w:ascii="GWZT-EN" w:hAnsi="GWZT-EN" w:cs="方正仿宋_GBK"/>
          <w:b/>
          <w:bCs/>
        </w:rPr>
        <w:lastRenderedPageBreak/>
        <w:t>荐、建设单位聘任、协助管理机构备案，应由非建设单位人员担任。技术委员会委员由建设单位聘任，</w:t>
      </w:r>
      <w:r>
        <w:rPr>
          <w:rFonts w:ascii="GWZT-EN" w:hAnsi="GWZT-EN" w:cs="方正仿宋_GBK"/>
          <w:b/>
          <w:bCs/>
        </w:rPr>
        <w:t>1</w:t>
      </w:r>
      <w:r>
        <w:rPr>
          <w:rFonts w:ascii="GWZT-EN" w:hAnsi="GWZT-EN" w:cs="方正仿宋_GBK"/>
          <w:b/>
          <w:bCs/>
        </w:rPr>
        <w:t>位专家不得同时在</w:t>
      </w:r>
      <w:r>
        <w:rPr>
          <w:rFonts w:ascii="GWZT-EN" w:hAnsi="GWZT-EN" w:cs="方正仿宋_GBK"/>
          <w:b/>
          <w:bCs/>
        </w:rPr>
        <w:t>3</w:t>
      </w:r>
      <w:r>
        <w:rPr>
          <w:rFonts w:ascii="GWZT-EN" w:hAnsi="GWZT-EN" w:cs="方正仿宋_GBK"/>
          <w:b/>
          <w:bCs/>
        </w:rPr>
        <w:t>个（含）以上交通运输部批准的科技创新平台担任技术（学术）委员会委员。技术委员会每届任期</w:t>
      </w:r>
      <w:r>
        <w:rPr>
          <w:rFonts w:ascii="GWZT-EN" w:hAnsi="GWZT-EN" w:cs="方正仿宋_GBK"/>
          <w:b/>
          <w:bCs/>
        </w:rPr>
        <w:t>5</w:t>
      </w:r>
      <w:r>
        <w:rPr>
          <w:rFonts w:ascii="GWZT-EN" w:hAnsi="GWZT-EN" w:cs="方正仿宋_GBK"/>
          <w:b/>
          <w:bCs/>
        </w:rPr>
        <w:t>年，每届委员更换比例不少于</w:t>
      </w:r>
      <w:r>
        <w:rPr>
          <w:rFonts w:ascii="GWZT-EN" w:hAnsi="GWZT-EN" w:cs="方正仿宋_GBK"/>
          <w:b/>
          <w:bCs/>
        </w:rPr>
        <w:t>1/3</w:t>
      </w:r>
      <w:r>
        <w:rPr>
          <w:rFonts w:ascii="GWZT-EN" w:hAnsi="GWZT-EN" w:cs="方正仿宋_GBK"/>
          <w:b/>
          <w:bCs/>
        </w:rPr>
        <w:t>。</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第十七条</w:t>
      </w:r>
      <w:r>
        <w:rPr>
          <w:rFonts w:ascii="GWZT-EN" w:hAnsi="GWZT-EN" w:cs="方正仿宋_GBK"/>
          <w:b/>
          <w:bCs/>
        </w:rPr>
        <w:t xml:space="preserve">  </w:t>
      </w:r>
      <w:r>
        <w:rPr>
          <w:rFonts w:ascii="GWZT-EN" w:hAnsi="GWZT-EN" w:cs="方正仿宋_GBK"/>
          <w:b/>
          <w:bCs/>
        </w:rPr>
        <w:t>创新中心由固定人员和流动人员组成。固定人员由建设单位聘用（任），比例不低于</w:t>
      </w:r>
      <w:r>
        <w:rPr>
          <w:rFonts w:ascii="GWZT-EN" w:hAnsi="GWZT-EN" w:cs="方正仿宋_GBK"/>
          <w:b/>
          <w:bCs/>
        </w:rPr>
        <w:t>2/3</w:t>
      </w:r>
      <w:r>
        <w:rPr>
          <w:rFonts w:ascii="GWZT-EN" w:hAnsi="GWZT-EN" w:cs="方正仿宋_GBK"/>
          <w:b/>
          <w:bCs/>
        </w:rPr>
        <w:t>，原则上只能在</w:t>
      </w:r>
      <w:r>
        <w:rPr>
          <w:rFonts w:ascii="GWZT-EN" w:hAnsi="GWZT-EN" w:cs="方正仿宋_GBK"/>
          <w:b/>
          <w:bCs/>
        </w:rPr>
        <w:t>1</w:t>
      </w:r>
      <w:r>
        <w:rPr>
          <w:rFonts w:ascii="GWZT-EN" w:hAnsi="GWZT-EN" w:cs="方正仿宋_GBK"/>
          <w:b/>
          <w:bCs/>
        </w:rPr>
        <w:t>个交通运输部批准的科技创新平台任职。固定人员信息须通过年度报告上报，并接受查重。流动人员包括访问学者、博士后研究人员及兼职人员。流动人员在创新中心工作期间，应签订工作协议，明确工作时间和任务。</w:t>
      </w:r>
    </w:p>
    <w:p w:rsidR="00BC0937" w:rsidRDefault="00AC2C26">
      <w:pPr>
        <w:ind w:firstLineChars="200" w:firstLine="632"/>
        <w:rPr>
          <w:rFonts w:ascii="GWZT-EN" w:hAnsi="GWZT-EN" w:cs="方正仿宋_GBK" w:hint="default"/>
          <w:b/>
          <w:bCs/>
        </w:rPr>
      </w:pPr>
      <w:r>
        <w:rPr>
          <w:rFonts w:ascii="GWZT-EN" w:hAnsi="GWZT-EN" w:cs="方正仿宋_GBK"/>
          <w:b/>
          <w:bCs/>
        </w:rPr>
        <w:t>创新中心应健全人员分类管理与激励机制，对科研人员、实验技术人员、管理人员等采用不同的管理和评价方式，吸引、汇聚和培养优秀人才，并做好服务保障。</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第十八条</w:t>
      </w:r>
      <w:r>
        <w:rPr>
          <w:rFonts w:ascii="GWZT-EN" w:hAnsi="GWZT-EN" w:cs="方正仿宋_GBK"/>
          <w:b/>
          <w:bCs/>
        </w:rPr>
        <w:t xml:space="preserve">  </w:t>
      </w:r>
      <w:r>
        <w:rPr>
          <w:rFonts w:ascii="GWZT-EN" w:hAnsi="GWZT-EN" w:cs="方正仿宋_GBK"/>
          <w:b/>
          <w:bCs/>
        </w:rPr>
        <w:t>创新中心应注重学术梯队和优秀中青年人才培养，统筹各类资源设立专门经费支持青年科技人员的科研活动。创新中心主任、副主任中应配备</w:t>
      </w:r>
      <w:r>
        <w:rPr>
          <w:rFonts w:ascii="GWZT-EN" w:hAnsi="GWZT-EN" w:cs="方正仿宋_GBK"/>
          <w:b/>
          <w:bCs/>
        </w:rPr>
        <w:t>45</w:t>
      </w:r>
      <w:r>
        <w:rPr>
          <w:rFonts w:ascii="GWZT-EN" w:hAnsi="GWZT-EN" w:cs="方正仿宋_GBK"/>
          <w:b/>
          <w:bCs/>
        </w:rPr>
        <w:t>周岁以下科研技术骨干。</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第十九条</w:t>
      </w:r>
      <w:r>
        <w:rPr>
          <w:rFonts w:ascii="GWZT-EN" w:hAnsi="GWZT-EN" w:cs="方正仿宋_GBK"/>
          <w:b/>
          <w:bCs/>
        </w:rPr>
        <w:t xml:space="preserve">  </w:t>
      </w:r>
      <w:r>
        <w:rPr>
          <w:rFonts w:ascii="GWZT-EN" w:hAnsi="GWZT-EN" w:cs="方正仿宋_GBK"/>
          <w:b/>
          <w:bCs/>
        </w:rPr>
        <w:t>创新中心应加强知识产权的创造、保护与运用，推动产学研融合和科技成果转化。利用创新中心物质技术条件完成的专著、论文等研究成果均应标注创新中心名称，软著申请、数据库建设、专利申请、标准制修订、技术成果转</w:t>
      </w:r>
      <w:r>
        <w:rPr>
          <w:rFonts w:ascii="GWZT-EN" w:hAnsi="GWZT-EN" w:cs="方正仿宋_GBK"/>
          <w:b/>
          <w:bCs/>
        </w:rPr>
        <w:lastRenderedPageBreak/>
        <w:t>让、奖励申报等按国家有关规定办理。对其他单位或个人利用创新中心取得的成果按国家有关规定及双方约定办理。</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第二十条</w:t>
      </w:r>
      <w:r>
        <w:rPr>
          <w:rFonts w:ascii="GWZT-EN" w:hAnsi="GWZT-EN" w:cs="方正仿宋_GBK"/>
          <w:b/>
          <w:bCs/>
        </w:rPr>
        <w:t xml:space="preserve">  </w:t>
      </w:r>
      <w:r>
        <w:rPr>
          <w:rFonts w:ascii="GWZT-EN" w:hAnsi="GWZT-EN" w:cs="方正仿宋_GBK"/>
          <w:b/>
          <w:bCs/>
        </w:rPr>
        <w:t>创新中心应重视科学技术普及，促进科技研发、科技成果转化与科普紧密结合，有条件的应向社会公众特别是学生开放，每年不少于</w:t>
      </w:r>
      <w:r>
        <w:rPr>
          <w:rFonts w:ascii="GWZT-EN" w:hAnsi="GWZT-EN" w:cs="方正仿宋_GBK"/>
          <w:b/>
          <w:bCs/>
        </w:rPr>
        <w:t>10</w:t>
      </w:r>
      <w:r>
        <w:rPr>
          <w:rFonts w:ascii="GWZT-EN" w:hAnsi="GWZT-EN" w:cs="方正仿宋_GBK"/>
          <w:b/>
          <w:bCs/>
        </w:rPr>
        <w:t>天，鼓励设置科普岗位和科普场所。</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第二十一条</w:t>
      </w:r>
      <w:r>
        <w:rPr>
          <w:rFonts w:ascii="GWZT-EN" w:hAnsi="GWZT-EN" w:cs="方正仿宋_GBK"/>
          <w:b/>
          <w:bCs/>
        </w:rPr>
        <w:t xml:space="preserve">  </w:t>
      </w:r>
      <w:r>
        <w:rPr>
          <w:rFonts w:ascii="GWZT-EN" w:hAnsi="GWZT-EN" w:cs="方正仿宋_GBK"/>
          <w:b/>
          <w:bCs/>
        </w:rPr>
        <w:t>创新中心应严格遵守国家安全保密特别是科技敏感信息的相关法律法规，建立健全相关管理制度，确保国家秘密安全，强化安全生产管理。</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第二十二条</w:t>
      </w:r>
      <w:r>
        <w:rPr>
          <w:rFonts w:ascii="GWZT-EN" w:hAnsi="GWZT-EN" w:cs="方正仿宋_GBK"/>
          <w:b/>
          <w:bCs/>
        </w:rPr>
        <w:t xml:space="preserve">  </w:t>
      </w:r>
      <w:r>
        <w:rPr>
          <w:rFonts w:ascii="GWZT-EN" w:hAnsi="GWZT-EN" w:cs="方正仿宋_GBK"/>
          <w:b/>
          <w:bCs/>
        </w:rPr>
        <w:t>创新中心应主动征集行业共性技术需求，协调共同出资、组织联合攻关；建立开放共享机制，为行业提供技术研发、技术转移、技术培训、人才培养等服务。</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第二十三条</w:t>
      </w:r>
      <w:r>
        <w:rPr>
          <w:rFonts w:ascii="GWZT-EN" w:hAnsi="GWZT-EN" w:cs="方正仿宋_GBK"/>
          <w:b/>
          <w:bCs/>
        </w:rPr>
        <w:t xml:space="preserve">  </w:t>
      </w:r>
      <w:r>
        <w:rPr>
          <w:rFonts w:ascii="GWZT-EN" w:hAnsi="GWZT-EN" w:cs="方正仿宋_GBK"/>
          <w:b/>
          <w:bCs/>
        </w:rPr>
        <w:t>创新中心应建立健全安全生产和环境保护制度，强化责任意识，加强监督检查，认真排查隐患，抓好责任落实。</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第二十四条</w:t>
      </w:r>
      <w:r>
        <w:rPr>
          <w:rFonts w:ascii="GWZT-EN" w:hAnsi="GWZT-EN" w:cs="方正仿宋_GBK"/>
          <w:b/>
          <w:bCs/>
        </w:rPr>
        <w:t xml:space="preserve">  </w:t>
      </w:r>
      <w:r>
        <w:rPr>
          <w:rFonts w:ascii="GWZT-EN" w:hAnsi="GWZT-EN" w:cs="方正仿宋_GBK"/>
          <w:b/>
          <w:bCs/>
        </w:rPr>
        <w:t>创新中心实行</w:t>
      </w:r>
      <w:bookmarkStart w:id="1" w:name="_Hlk198675397"/>
      <w:r>
        <w:rPr>
          <w:rFonts w:ascii="GWZT-EN" w:hAnsi="GWZT-EN" w:cs="方正仿宋_GBK"/>
          <w:b/>
          <w:bCs/>
        </w:rPr>
        <w:t>年度报告制度</w:t>
      </w:r>
      <w:bookmarkEnd w:id="1"/>
      <w:r>
        <w:rPr>
          <w:rFonts w:ascii="GWZT-EN" w:hAnsi="GWZT-EN" w:cs="方正仿宋_GBK"/>
          <w:b/>
          <w:bCs/>
        </w:rPr>
        <w:t>，按要求每年就上年度创新中心人员、经费、成果等情况及本年度工作计划，形成年度报告，由牵头建设单位提交并报协助管理机构审核后，于本年度</w:t>
      </w:r>
      <w:r>
        <w:rPr>
          <w:rFonts w:ascii="GWZT-EN" w:hAnsi="GWZT-EN" w:cs="方正仿宋_GBK"/>
          <w:b/>
          <w:bCs/>
        </w:rPr>
        <w:t>2</w:t>
      </w:r>
      <w:r>
        <w:rPr>
          <w:rFonts w:ascii="GWZT-EN" w:hAnsi="GWZT-EN" w:cs="方正仿宋_GBK"/>
          <w:b/>
          <w:bCs/>
        </w:rPr>
        <w:t>月底前报交通运输部。</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第二十五条</w:t>
      </w:r>
      <w:r>
        <w:rPr>
          <w:rFonts w:ascii="GWZT-EN" w:hAnsi="GWZT-EN" w:cs="方正仿宋_GBK"/>
          <w:b/>
          <w:bCs/>
        </w:rPr>
        <w:t xml:space="preserve">  </w:t>
      </w:r>
      <w:r>
        <w:rPr>
          <w:rFonts w:ascii="GWZT-EN" w:hAnsi="GWZT-EN" w:cs="方正仿宋_GBK"/>
          <w:b/>
          <w:bCs/>
        </w:rPr>
        <w:t>创新中心变更名称、调整主要研究方向、调整建设单位组成等情况，须由牵头建设单位充分论证后提出书面申请，协助管理机构审核后报交通运输部批复。</w:t>
      </w:r>
    </w:p>
    <w:p w:rsidR="00BC0937" w:rsidRDefault="00AC2C26">
      <w:pPr>
        <w:ind w:firstLineChars="200" w:firstLine="632"/>
        <w:rPr>
          <w:rFonts w:ascii="GWZT-EN" w:hAnsi="GWZT-EN" w:cs="方正仿宋_GBK" w:hint="default"/>
          <w:b/>
          <w:bCs/>
        </w:rPr>
      </w:pPr>
      <w:r>
        <w:rPr>
          <w:rFonts w:ascii="GWZT-EN" w:hAnsi="GWZT-EN" w:cs="方正仿宋_GBK"/>
          <w:b/>
          <w:bCs/>
        </w:rPr>
        <w:lastRenderedPageBreak/>
        <w:t>牵头建设单位法人主体或所有制结构发生重大变化时，创新中心须重新评估入列。</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第二十六条</w:t>
      </w:r>
      <w:r>
        <w:rPr>
          <w:rFonts w:ascii="GWZT-EN" w:hAnsi="GWZT-EN" w:cs="方正仿宋_GBK"/>
          <w:b/>
          <w:bCs/>
        </w:rPr>
        <w:t xml:space="preserve">  </w:t>
      </w:r>
      <w:r>
        <w:rPr>
          <w:rFonts w:ascii="GWZT-EN" w:hAnsi="GWZT-EN" w:cs="方正仿宋_GBK"/>
          <w:b/>
          <w:bCs/>
        </w:rPr>
        <w:t>创新中心升级或整合为国家级科技创新平台的，自动退出创新中心序列。</w:t>
      </w:r>
    </w:p>
    <w:p w:rsidR="00BC0937" w:rsidRDefault="00AC2C26">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第五章  评    估</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第二十七条</w:t>
      </w:r>
      <w:r>
        <w:rPr>
          <w:rFonts w:ascii="GWZT-EN" w:hAnsi="GWZT-EN" w:cs="方正仿宋_GBK"/>
          <w:b/>
          <w:bCs/>
        </w:rPr>
        <w:t xml:space="preserve">  </w:t>
      </w:r>
      <w:r>
        <w:rPr>
          <w:rFonts w:ascii="GWZT-EN" w:hAnsi="GWZT-EN" w:cs="方正仿宋_GBK"/>
          <w:b/>
          <w:bCs/>
        </w:rPr>
        <w:t>创新中心实行年度评价和定期评估制度。年度评价和定期评估内容包括创新中心关键核心技术突破、产学研协同推动科技成果转化与产业化、队伍建设与人才培养、开放交流、资源共享与运行管理等，年度评价结果作为创新中心定期评估的重要参考。</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第二十八条</w:t>
      </w:r>
      <w:r>
        <w:rPr>
          <w:rFonts w:ascii="GWZT-EN" w:hAnsi="GWZT-EN" w:cs="方正仿宋_GBK"/>
          <w:b/>
          <w:bCs/>
        </w:rPr>
        <w:t xml:space="preserve">  </w:t>
      </w:r>
      <w:r>
        <w:rPr>
          <w:rFonts w:ascii="GWZT-EN" w:hAnsi="GWZT-EN" w:cs="方正仿宋_GBK"/>
          <w:b/>
          <w:bCs/>
        </w:rPr>
        <w:t>评估工作坚持科学合理、客观公正、以评促建的原则，制定专门规则，</w:t>
      </w:r>
      <w:bookmarkStart w:id="2" w:name="_Hlk213850523"/>
      <w:r>
        <w:rPr>
          <w:rFonts w:ascii="GWZT-EN" w:hAnsi="GWZT-EN" w:cs="方正仿宋_GBK"/>
          <w:b/>
          <w:bCs/>
        </w:rPr>
        <w:t>通过指标评测、专家评议、现场考察等方式，分领域开展。评估周期为</w:t>
      </w:r>
      <w:r>
        <w:rPr>
          <w:rFonts w:ascii="GWZT-EN" w:hAnsi="GWZT-EN" w:cs="方正仿宋_GBK"/>
          <w:b/>
          <w:bCs/>
        </w:rPr>
        <w:t>5</w:t>
      </w:r>
      <w:r>
        <w:rPr>
          <w:rFonts w:ascii="GWZT-EN" w:hAnsi="GWZT-EN" w:cs="方正仿宋_GBK"/>
          <w:b/>
          <w:bCs/>
        </w:rPr>
        <w:t>年，</w:t>
      </w:r>
      <w:bookmarkEnd w:id="2"/>
      <w:r>
        <w:rPr>
          <w:rFonts w:ascii="GWZT-EN" w:hAnsi="GWZT-EN" w:cs="方正仿宋_GBK"/>
          <w:b/>
          <w:bCs/>
        </w:rPr>
        <w:t>每年评估若干创新中心。</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第二十九条</w:t>
      </w:r>
      <w:r>
        <w:rPr>
          <w:rFonts w:ascii="GWZT-EN" w:hAnsi="GWZT-EN" w:cs="方正仿宋_GBK"/>
          <w:b/>
          <w:bCs/>
        </w:rPr>
        <w:t xml:space="preserve">  </w:t>
      </w:r>
      <w:r>
        <w:rPr>
          <w:rFonts w:ascii="GWZT-EN" w:hAnsi="GWZT-EN" w:cs="方正仿宋_GBK"/>
          <w:b/>
          <w:bCs/>
        </w:rPr>
        <w:t>评估结果分为优秀、良好、基本合格、不合格四档。根据评估结果，动态调整、有进有出，分档支持、拉开级差。评估结果优秀的，交通运输部主责的国家重点研发计划重点专项、人才计划、条件能力建设项目等予以积极支持；评估结果基本合格的，按要求整改并在</w:t>
      </w:r>
      <w:r>
        <w:rPr>
          <w:rFonts w:ascii="GWZT-EN" w:hAnsi="GWZT-EN" w:cs="方正仿宋_GBK"/>
          <w:b/>
          <w:bCs/>
        </w:rPr>
        <w:t>1</w:t>
      </w:r>
      <w:r>
        <w:rPr>
          <w:rFonts w:ascii="GWZT-EN" w:hAnsi="GWZT-EN" w:cs="方正仿宋_GBK"/>
          <w:b/>
          <w:bCs/>
        </w:rPr>
        <w:t>年内复评。</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第三十条</w:t>
      </w:r>
      <w:r>
        <w:rPr>
          <w:rFonts w:ascii="GWZT-EN" w:hAnsi="GWZT-EN" w:cs="方正仿宋_GBK"/>
          <w:b/>
          <w:bCs/>
        </w:rPr>
        <w:t xml:space="preserve">  </w:t>
      </w:r>
      <w:r>
        <w:rPr>
          <w:rFonts w:ascii="GWZT-EN" w:hAnsi="GWZT-EN" w:cs="方正仿宋_GBK"/>
          <w:b/>
          <w:bCs/>
        </w:rPr>
        <w:t>评估过程中，创新中心应实事求是，不得弄虚作假。任何单位或个人不得以任何方式影响评估的公正性。对</w:t>
      </w:r>
      <w:r>
        <w:rPr>
          <w:rFonts w:ascii="GWZT-EN" w:hAnsi="GWZT-EN" w:cs="方正仿宋_GBK"/>
          <w:b/>
          <w:bCs/>
        </w:rPr>
        <w:lastRenderedPageBreak/>
        <w:t>弄虚作假、违反学术道德、违背科研诚信的，按有关规定严肃处理。</w:t>
      </w:r>
    </w:p>
    <w:p w:rsidR="00BC0937" w:rsidRDefault="00AC2C26">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第六章  附    则</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第三十一条</w:t>
      </w:r>
      <w:r>
        <w:rPr>
          <w:rFonts w:ascii="GWZT-EN" w:hAnsi="GWZT-EN" w:cs="方正仿宋_GBK"/>
          <w:b/>
          <w:bCs/>
        </w:rPr>
        <w:t xml:space="preserve">  </w:t>
      </w:r>
      <w:r>
        <w:rPr>
          <w:rFonts w:ascii="GWZT-EN" w:hAnsi="GWZT-EN" w:cs="方正仿宋_GBK"/>
          <w:b/>
          <w:bCs/>
          <w:spacing w:val="-6"/>
        </w:rPr>
        <w:t>运行期内创新中心统一命名为“交通运输部××工程研究与技术创新中</w:t>
      </w:r>
      <w:r>
        <w:rPr>
          <w:rFonts w:ascii="GWZT-EN" w:hAnsi="GWZT-EN" w:cs="方正仿宋_GBK"/>
          <w:b/>
          <w:bCs/>
        </w:rPr>
        <w:t>心”，英文名称为：“</w:t>
      </w:r>
      <w:r>
        <w:rPr>
          <w:rFonts w:ascii="GWZT-EN" w:hAnsi="GWZT-EN" w:cs="方正仿宋_GBK"/>
          <w:b/>
          <w:bCs/>
        </w:rPr>
        <w:t xml:space="preserve">Ministry of Transport </w:t>
      </w:r>
      <w:r>
        <w:rPr>
          <w:rFonts w:ascii="GWZT-EN" w:hAnsi="GWZT-EN" w:cs="方正仿宋_GBK"/>
          <w:b/>
          <w:bCs/>
          <w:spacing w:val="-6"/>
        </w:rPr>
        <w:t>××</w:t>
      </w:r>
      <w:r>
        <w:rPr>
          <w:rFonts w:ascii="GWZT-EN" w:hAnsi="GWZT-EN" w:cs="方正仿宋_GBK"/>
          <w:b/>
          <w:bCs/>
          <w:spacing w:val="-6"/>
        </w:rPr>
        <w:t xml:space="preserve"> Engineering Research and Technology Innovation Center</w:t>
      </w:r>
      <w:r>
        <w:rPr>
          <w:rFonts w:ascii="GWZT-EN" w:hAnsi="GWZT-EN" w:cs="方正仿宋_GBK"/>
          <w:b/>
          <w:bCs/>
          <w:spacing w:val="-6"/>
        </w:rPr>
        <w:t>”。</w:t>
      </w:r>
      <w:r>
        <w:rPr>
          <w:rFonts w:ascii="GWZT-EN" w:hAnsi="GWZT-EN" w:cs="方正仿宋_GBK"/>
          <w:b/>
          <w:bCs/>
        </w:rPr>
        <w:t>原则上只在牵头建设单位建设的主场所挂牌。</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第三十二条</w:t>
      </w:r>
      <w:r>
        <w:rPr>
          <w:rFonts w:ascii="GWZT-EN" w:hAnsi="GWZT-EN" w:cs="方正仿宋_GBK"/>
          <w:b/>
          <w:bCs/>
        </w:rPr>
        <w:t xml:space="preserve">  </w:t>
      </w:r>
      <w:r>
        <w:rPr>
          <w:rFonts w:ascii="GWZT-EN" w:hAnsi="GWZT-EN" w:cs="方正仿宋_GBK"/>
          <w:b/>
          <w:bCs/>
        </w:rPr>
        <w:t>创新中心有下列情形之一的，由交通运输部撤销其建设和运行资格：</w:t>
      </w:r>
    </w:p>
    <w:p w:rsidR="00BC0937" w:rsidRDefault="00AC2C26">
      <w:pPr>
        <w:ind w:firstLineChars="200" w:firstLine="608"/>
        <w:rPr>
          <w:rFonts w:ascii="GWZT-EN" w:hAnsi="GWZT-EN" w:cs="方正仿宋_GBK" w:hint="default"/>
          <w:b/>
          <w:bCs/>
          <w:spacing w:val="-6"/>
        </w:rPr>
      </w:pPr>
      <w:r>
        <w:rPr>
          <w:rFonts w:ascii="GWZT-EN" w:hAnsi="GWZT-EN" w:cs="方正仿宋_GBK"/>
          <w:b/>
          <w:bCs/>
          <w:spacing w:val="-6"/>
        </w:rPr>
        <w:t>（一）从事与创新中心功能定位不相符的活动造成恶劣影响的；</w:t>
      </w:r>
    </w:p>
    <w:p w:rsidR="00BC0937" w:rsidRDefault="00AC2C26">
      <w:pPr>
        <w:ind w:firstLineChars="200" w:firstLine="632"/>
        <w:rPr>
          <w:rFonts w:ascii="GWZT-EN" w:hAnsi="GWZT-EN" w:cs="方正仿宋_GBK" w:hint="default"/>
          <w:b/>
          <w:bCs/>
        </w:rPr>
      </w:pPr>
      <w:r>
        <w:rPr>
          <w:rFonts w:ascii="GWZT-EN" w:hAnsi="GWZT-EN" w:cs="方正仿宋_GBK"/>
          <w:b/>
          <w:bCs/>
        </w:rPr>
        <w:t>（二）</w:t>
      </w:r>
      <w:bookmarkStart w:id="3" w:name="_Hlk213758079"/>
      <w:r>
        <w:rPr>
          <w:rFonts w:ascii="GWZT-EN" w:hAnsi="GWZT-EN" w:cs="方正仿宋_GBK"/>
          <w:b/>
          <w:bCs/>
        </w:rPr>
        <w:t>不参加验收、评估或提供虚假材料的；</w:t>
      </w:r>
      <w:bookmarkEnd w:id="3"/>
    </w:p>
    <w:p w:rsidR="00BC0937" w:rsidRDefault="00AC2C26">
      <w:pPr>
        <w:ind w:firstLineChars="200" w:firstLine="632"/>
        <w:rPr>
          <w:rFonts w:ascii="GWZT-EN" w:hAnsi="GWZT-EN" w:cs="方正仿宋_GBK" w:hint="default"/>
          <w:b/>
          <w:bCs/>
        </w:rPr>
      </w:pPr>
      <w:r>
        <w:rPr>
          <w:rFonts w:ascii="GWZT-EN" w:hAnsi="GWZT-EN" w:cs="方正仿宋_GBK"/>
          <w:b/>
          <w:bCs/>
        </w:rPr>
        <w:t>（三）</w:t>
      </w:r>
      <w:bookmarkStart w:id="4" w:name="_Hlk213758086"/>
      <w:r>
        <w:rPr>
          <w:rFonts w:ascii="GWZT-EN" w:hAnsi="GWZT-EN" w:cs="方正仿宋_GBK"/>
          <w:b/>
          <w:bCs/>
        </w:rPr>
        <w:t>验收、评估不合格的；</w:t>
      </w:r>
      <w:bookmarkEnd w:id="4"/>
    </w:p>
    <w:p w:rsidR="00BC0937" w:rsidRDefault="00AC2C26">
      <w:pPr>
        <w:ind w:firstLineChars="200" w:firstLine="632"/>
        <w:rPr>
          <w:rFonts w:ascii="GWZT-EN" w:hAnsi="GWZT-EN" w:cs="方正仿宋_GBK" w:hint="default"/>
          <w:b/>
          <w:bCs/>
        </w:rPr>
      </w:pPr>
      <w:r>
        <w:rPr>
          <w:rFonts w:ascii="GWZT-EN" w:hAnsi="GWZT-EN" w:cs="方正仿宋_GBK"/>
          <w:b/>
          <w:bCs/>
        </w:rPr>
        <w:t>（四）存在严重违法失信行为的；</w:t>
      </w:r>
    </w:p>
    <w:p w:rsidR="00BC0937" w:rsidRDefault="00AC2C26">
      <w:pPr>
        <w:ind w:firstLineChars="200" w:firstLine="632"/>
        <w:rPr>
          <w:rFonts w:ascii="GWZT-EN" w:hAnsi="GWZT-EN" w:cs="方正仿宋_GBK" w:hint="default"/>
          <w:b/>
          <w:bCs/>
        </w:rPr>
      </w:pPr>
      <w:r>
        <w:rPr>
          <w:rFonts w:ascii="GWZT-EN" w:hAnsi="GWZT-EN" w:cs="方正仿宋_GBK"/>
          <w:b/>
          <w:bCs/>
        </w:rPr>
        <w:t>（五）其他依法依规被终止的。</w:t>
      </w:r>
    </w:p>
    <w:p w:rsidR="00BC0937" w:rsidRDefault="00AC2C26">
      <w:pPr>
        <w:ind w:firstLineChars="200" w:firstLine="632"/>
        <w:rPr>
          <w:rFonts w:ascii="GWZT-EN" w:hAnsi="GWZT-EN" w:cs="方正仿宋_GBK" w:hint="default"/>
          <w:b/>
          <w:bCs/>
        </w:rPr>
      </w:pPr>
      <w:r>
        <w:rPr>
          <w:rFonts w:ascii="GWZT-EN" w:hAnsi="GWZT-EN" w:cs="方正仿宋_GBK"/>
          <w:b/>
          <w:bCs/>
        </w:rPr>
        <w:t>被撤销的创新中心及其建设单位，不得继续以创新中心的名义开展工作。</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第三十三条</w:t>
      </w:r>
      <w:r>
        <w:rPr>
          <w:rFonts w:ascii="GWZT-EN" w:hAnsi="GWZT-EN" w:cs="方正仿宋_GBK"/>
          <w:b/>
          <w:bCs/>
        </w:rPr>
        <w:t xml:space="preserve">  </w:t>
      </w:r>
      <w:r>
        <w:rPr>
          <w:rFonts w:ascii="GWZT-EN" w:hAnsi="GWZT-EN" w:cs="方正仿宋_GBK"/>
          <w:b/>
          <w:bCs/>
        </w:rPr>
        <w:t>本办法由交通运输部负责解释。</w:t>
      </w:r>
    </w:p>
    <w:p w:rsidR="00BC0937" w:rsidRDefault="00AC2C26">
      <w:pPr>
        <w:ind w:firstLineChars="200" w:firstLine="632"/>
        <w:rPr>
          <w:rFonts w:ascii="GWZT-EN" w:hAnsi="GWZT-EN" w:cs="方正仿宋_GBK" w:hint="default"/>
          <w:b/>
          <w:bCs/>
        </w:rPr>
      </w:pPr>
      <w:r>
        <w:rPr>
          <w:rFonts w:ascii="GWZT-EN" w:eastAsia="方正黑体_GBK" w:hAnsi="GWZT-EN" w:cs="方正仿宋_GBK"/>
          <w:b/>
          <w:bCs/>
        </w:rPr>
        <w:t>第三十四条</w:t>
      </w:r>
      <w:r>
        <w:rPr>
          <w:rFonts w:ascii="GWZT-EN" w:hAnsi="GWZT-EN" w:cs="方正仿宋_GBK"/>
          <w:b/>
          <w:bCs/>
        </w:rPr>
        <w:t xml:space="preserve">  </w:t>
      </w:r>
      <w:r>
        <w:rPr>
          <w:rFonts w:ascii="GWZT-EN" w:hAnsi="GWZT-EN" w:cs="方正仿宋_GBK"/>
          <w:b/>
          <w:bCs/>
        </w:rPr>
        <w:t>本办法自印发之日起施行。《交通运输部关于印发〈交通运输行业研发中心管理办法〉的通知》（交科技发</w:t>
      </w:r>
      <w:r>
        <w:rPr>
          <w:rFonts w:ascii="GWZT-EN" w:hAnsi="GWZT-EN" w:cs="方正仿宋_GBK"/>
          <w:b/>
          <w:bCs/>
        </w:rPr>
        <w:lastRenderedPageBreak/>
        <w:t>〔</w:t>
      </w:r>
      <w:r>
        <w:rPr>
          <w:rFonts w:ascii="GWZT-EN" w:hAnsi="GWZT-EN" w:cs="方正仿宋_GBK"/>
          <w:b/>
          <w:bCs/>
        </w:rPr>
        <w:t>2018</w:t>
      </w:r>
      <w:r>
        <w:rPr>
          <w:rFonts w:ascii="GWZT-EN" w:hAnsi="GWZT-EN" w:cs="方正仿宋_GBK"/>
          <w:b/>
          <w:bCs/>
        </w:rPr>
        <w:t>〕</w:t>
      </w:r>
      <w:r>
        <w:rPr>
          <w:rFonts w:ascii="GWZT-EN" w:hAnsi="GWZT-EN" w:cs="方正仿宋_GBK"/>
          <w:b/>
          <w:bCs/>
        </w:rPr>
        <w:t>114</w:t>
      </w:r>
      <w:r>
        <w:rPr>
          <w:rFonts w:ascii="GWZT-EN" w:hAnsi="GWZT-EN" w:cs="方正仿宋_GBK"/>
          <w:b/>
          <w:bCs/>
        </w:rPr>
        <w:t>号）同时废止。</w:t>
      </w:r>
    </w:p>
    <w:p w:rsidR="00BC0937" w:rsidRDefault="00BC0937">
      <w:pPr>
        <w:rPr>
          <w:rFonts w:ascii="GWZT-EN" w:hAnsi="GWZT-EN" w:cs="方正仿宋_GBK" w:hint="default"/>
        </w:rPr>
      </w:pPr>
    </w:p>
    <w:sectPr w:rsidR="00BC0937">
      <w:headerReference w:type="even" r:id="rId7"/>
      <w:headerReference w:type="default" r:id="rId8"/>
      <w:footerReference w:type="even" r:id="rId9"/>
      <w:footerReference w:type="default" r:id="rId10"/>
      <w:pgSz w:w="11906" w:h="16838"/>
      <w:pgMar w:top="2098" w:right="1531" w:bottom="1984" w:left="1531" w:header="851" w:footer="850" w:gutter="0"/>
      <w:cols w:space="0"/>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3626" w:rsidRDefault="007B3626">
      <w:pPr>
        <w:rPr>
          <w:rFonts w:hint="default"/>
        </w:rPr>
      </w:pPr>
      <w:r>
        <w:separator/>
      </w:r>
    </w:p>
  </w:endnote>
  <w:endnote w:type="continuationSeparator" w:id="0">
    <w:p w:rsidR="007B3626" w:rsidRDefault="007B3626">
      <w:pPr>
        <w:rPr>
          <w:rFonts w:hint="default"/>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auto"/>
    <w:pitch w:val="default"/>
    <w:sig w:usb0="00000000" w:usb1="08000000" w:usb2="00000000" w:usb3="00000000" w:csb0="00040000" w:csb1="00000000"/>
  </w:font>
  <w:font w:name="方正黑体_GBK">
    <w:altName w:val="Arial Unicode MS"/>
    <w:charset w:val="86"/>
    <w:family w:val="auto"/>
    <w:pitch w:val="default"/>
    <w:sig w:usb0="00000000" w:usb1="08000000" w:usb2="00000000" w:usb3="00000000" w:csb0="00040000" w:csb1="00000000"/>
  </w:font>
  <w:font w:name="方正楷体_GBK">
    <w:charset w:val="86"/>
    <w:family w:val="auto"/>
    <w:pitch w:val="default"/>
    <w:sig w:usb0="00000001" w:usb1="0800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GWZT-EN">
    <w:altName w:val="Microsoft YaHei UI"/>
    <w:charset w:val="86"/>
    <w:family w:val="auto"/>
    <w:pitch w:val="default"/>
    <w:sig w:usb0="00000000" w:usb1="38CF7CFA" w:usb2="00082016" w:usb3="00000000" w:csb0="00040001"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BC0937">
    <w:pPr>
      <w:tabs>
        <w:tab w:val="center" w:pos="4153"/>
        <w:tab w:val="right" w:pos="8306"/>
      </w:tabs>
      <w:spacing w:line="473" w:lineRule="auto"/>
      <w:ind w:leftChars="100" w:left="320"/>
      <w:rPr>
        <w:rFonts w:ascii="宋体" w:eastAsia="宋体" w:hAnsi="宋体" w:hint="default"/>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AC2C26">
    <w:pPr>
      <w:tabs>
        <w:tab w:val="center" w:pos="4153"/>
        <w:tab w:val="right" w:pos="8306"/>
      </w:tabs>
      <w:wordWrap w:val="0"/>
      <w:spacing w:line="476" w:lineRule="auto"/>
      <w:ind w:rightChars="100" w:right="320"/>
      <w:rPr>
        <w:rFonts w:ascii="宋体" w:eastAsia="宋体" w:hint="default"/>
        <w:sz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bottomMargin">
                <wp:posOffset>161925</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0937" w:rsidRDefault="00AC2C26">
                          <w:pPr>
                            <w:rPr>
                              <w:rFonts w:ascii="宋体" w:eastAsia="宋体" w:hAnsi="宋体" w:cs="宋体" w:hint="default"/>
                              <w:sz w:val="28"/>
                              <w:szCs w:val="28"/>
                            </w:rPr>
                          </w:pPr>
                          <w:r>
                            <w:rPr>
                              <w:rFonts w:ascii="宋体" w:eastAsia="宋体" w:hAnsi="宋体" w:cs="宋体"/>
                              <w:sz w:val="28"/>
                              <w:szCs w:val="28"/>
                            </w:rPr>
                            <w:t xml:space="preserve">—　</w:t>
                          </w: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sidR="005D4DFD">
                            <w:rPr>
                              <w:rFonts w:ascii="宋体" w:eastAsia="宋体" w:hAnsi="宋体" w:cs="宋体" w:hint="default"/>
                              <w:noProof/>
                              <w:sz w:val="28"/>
                              <w:szCs w:val="28"/>
                            </w:rPr>
                            <w:t>1</w:t>
                          </w:r>
                          <w:r>
                            <w:rPr>
                              <w:rFonts w:ascii="宋体" w:eastAsia="宋体" w:hAnsi="宋体" w:cs="宋体"/>
                              <w:sz w:val="28"/>
                              <w:szCs w:val="28"/>
                            </w:rPr>
                            <w:fldChar w:fldCharType="end"/>
                          </w:r>
                          <w:r>
                            <w:rPr>
                              <w:rFonts w:ascii="宋体" w:eastAsia="宋体" w:hAnsi="宋体" w:cs="宋体"/>
                              <w:sz w:val="28"/>
                              <w:szCs w:val="28"/>
                            </w:rPr>
                            <w:t xml:space="preserve">　—</w:t>
                          </w:r>
                        </w:p>
                      </w:txbxContent>
                    </wps:txbx>
                    <wps:bodyPr rot="0" vertOverflow="overflow" horzOverflow="overflow" vert="horz" wrap="none" lIns="0" tIns="0" rIns="0" bIns="0" spcCol="0" fromWordArt="0" anchor="t" anchorCtr="0">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92.8pt;margin-top:12.75pt;width:2in;height:2in;z-index:251659264;visibility:visible;mso-wrap-style:none;mso-wrap-distance-left:9pt;mso-wrap-distance-top:0;mso-wrap-distance-right:9pt;mso-wrap-distance-bottom:0;mso-position-horizontal:outside;mso-position-horizontal-relative:margin;mso-position-vertical:absolute;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" filled="f" stroked="f" strokeweight=".5pt">
              <v:textbox style="mso-fit-shape-to-text:t" inset="0,0,0,0">
                <w:txbxContent>
                  <w:p w:rsidR="00BC0937" w:rsidRDefault="00AC2C26">
                    <w:pPr>
                      <w:rPr>
                        <w:rFonts w:ascii="宋体" w:eastAsia="宋体" w:hAnsi="宋体" w:cs="宋体" w:hint="default"/>
                        <w:sz w:val="28"/>
                        <w:szCs w:val="28"/>
                      </w:rPr>
                    </w:pPr>
                    <w:r>
                      <w:rPr>
                        <w:rFonts w:ascii="宋体" w:eastAsia="宋体" w:hAnsi="宋体" w:cs="宋体"/>
                        <w:sz w:val="28"/>
                        <w:szCs w:val="28"/>
                      </w:rPr>
                      <w:t xml:space="preserve">—　</w:t>
                    </w: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sidR="005D4DFD">
                      <w:rPr>
                        <w:rFonts w:ascii="宋体" w:eastAsia="宋体" w:hAnsi="宋体" w:cs="宋体" w:hint="default"/>
                        <w:noProof/>
                        <w:sz w:val="28"/>
                        <w:szCs w:val="28"/>
                      </w:rPr>
                      <w:t>1</w:t>
                    </w:r>
                    <w:r>
                      <w:rPr>
                        <w:rFonts w:ascii="宋体" w:eastAsia="宋体" w:hAnsi="宋体" w:cs="宋体"/>
                        <w:sz w:val="28"/>
                        <w:szCs w:val="28"/>
                      </w:rPr>
                      <w:fldChar w:fldCharType="end"/>
                    </w:r>
                    <w:r>
                      <w:rPr>
                        <w:rFonts w:ascii="宋体" w:eastAsia="宋体" w:hAnsi="宋体" w:cs="宋体"/>
                        <w:sz w:val="28"/>
                        <w:szCs w:val="28"/>
                      </w:rPr>
                      <w:t xml:space="preserve">　—</w:t>
                    </w:r>
                  </w:p>
                </w:txbxContent>
              </v:textbox>
              <w10:wrap anchorx="margin" anchory="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3626" w:rsidRDefault="007B3626">
      <w:pPr>
        <w:rPr>
          <w:rFonts w:hint="default"/>
        </w:rPr>
      </w:pPr>
      <w:r>
        <w:separator/>
      </w:r>
    </w:p>
  </w:footnote>
  <w:footnote w:type="continuationSeparator" w:id="0">
    <w:p w:rsidR="007B3626" w:rsidRDefault="007B3626">
      <w:pPr>
        <w:rPr>
          <w:rFonts w:hint="default"/>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BC0937">
    <w:pPr>
      <w:tabs>
        <w:tab w:val="center" w:pos="4153"/>
        <w:tab w:val="right" w:pos="8306"/>
      </w:tabs>
      <w:rPr>
        <w:rFonts w:hint="defau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BC0937">
    <w:pPr>
      <w:tabs>
        <w:tab w:val="center" w:pos="4153"/>
        <w:tab w:val="right" w:pos="8306"/>
      </w:tabs>
      <w:rPr>
        <w:rFonts w:hint="defau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defaultTabStop w:val="420"/>
  <w:drawingGridHorizontalSpacing w:val="158"/>
  <w:drawingGridVerticalSpacing w:val="290"/>
  <w:displayHorizontalDrawingGridEvery w:val="2"/>
  <w:displayVerticalDrawingGridEvery w:val="2"/>
  <w:characterSpacingControl w:val="doNotCompress"/>
  <w:footnotePr>
    <w:footnote w:id="-1"/>
    <w:footnote w:id="0"/>
  </w:footnotePr>
  <w:endnotePr>
    <w:endnote w:id="-1"/>
    <w:endnote w:id="0"/>
  </w:endnotePr>
  <w:compat>
    <w:balanceSingleByteDoubleByteWidth/>
    <w:ulTrailSpace/>
    <w:doNotExpandShiftReturn/>
    <w:adjustLineHeightInTable/>
    <w:doNotBreakWrappedTables/>
    <w:useFELayout/>
    <w:useAltKinsokuLineBreakRules/>
    <w:compatSetting w:name="compatibilityMode" w:uri="http://schemas.microsoft.com/office/word" w:val="14"/>
    <w:compatSetting w:name="doNotFlipMirrorIndents" w:uri="http://schemas.microsoft.com/office/word" w:val="1"/>
  </w:compat>
  <w:rsids>
    <w:rsidRoot w:val="00BC0937"/>
    <w:rsid w:val="001F51DD"/>
    <w:rsid w:val="005D4DFD"/>
    <w:rsid w:val="007B3626"/>
    <w:rsid w:val="00AC2C26"/>
    <w:rsid w:val="00BC0937"/>
    <w:rsid w:val="00CE453E"/>
    <w:rsid w:val="169D58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strokecolor="#739cc3">
      <v:fill angle="90" type="gradient">
        <o:fill v:ext="view" type="gradientUnscaled"/>
      </v:fill>
      <v:stroke color="#739cc3" weight="1.25pt"/>
    </o:shapedefaults>
    <o:shapelayout v:ext="edit">
      <o:idmap v:ext="edit" data="1"/>
    </o:shapelayout>
  </w:shapeDefaults>
  <w:decimalSymbol w:val="."/>
  <w:listSeparator w:val=","/>
  <w15:docId w15:val="{C879F865-1D76-4E51-85BF-732C9AA1B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overflowPunct w:val="0"/>
      <w:topLinePunct/>
      <w:adjustRightInd w:val="0"/>
      <w:jc w:val="both"/>
    </w:pPr>
    <w:rPr>
      <w:rFonts w:ascii="Times New Roman" w:eastAsia="方正仿宋_GBK" w:hAnsi="Times New Roman" w:hint="eastAsia"/>
      <w:kern w:val="2"/>
      <w:sz w:val="32"/>
      <w:szCs w:val="32"/>
    </w:rPr>
  </w:style>
  <w:style w:type="paragraph" w:styleId="1">
    <w:name w:val="heading 1"/>
    <w:pPr>
      <w:widowControl w:val="0"/>
      <w:overflowPunct w:val="0"/>
      <w:topLinePunct/>
      <w:jc w:val="both"/>
      <w:outlineLvl w:val="0"/>
    </w:pPr>
    <w:rPr>
      <w:rFonts w:ascii="Times New Roman" w:eastAsia="方正黑体_GBK" w:hAnsi="Times New Roman"/>
      <w:kern w:val="2"/>
      <w:sz w:val="32"/>
      <w:szCs w:val="32"/>
    </w:rPr>
  </w:style>
  <w:style w:type="paragraph" w:styleId="2">
    <w:name w:val="heading 2"/>
    <w:pPr>
      <w:widowControl w:val="0"/>
      <w:overflowPunct w:val="0"/>
      <w:topLinePunct/>
      <w:jc w:val="both"/>
      <w:outlineLvl w:val="1"/>
    </w:pPr>
    <w:rPr>
      <w:rFonts w:ascii="Times New Roman" w:eastAsia="方正楷体_GBK" w:hAnsi="Times New Roman"/>
      <w:kern w:val="2"/>
      <w:sz w:val="32"/>
      <w:szCs w:val="32"/>
    </w:rPr>
  </w:style>
  <w:style w:type="paragraph" w:styleId="3">
    <w:name w:val="heading 3"/>
    <w:pPr>
      <w:widowControl w:val="0"/>
      <w:overflowPunct w:val="0"/>
      <w:topLinePunct/>
      <w:jc w:val="both"/>
      <w:outlineLvl w:val="2"/>
    </w:pPr>
    <w:rPr>
      <w:rFonts w:ascii="Times New Roman" w:eastAsia="方正仿宋_GBK" w:hAnsi="Times New Roman"/>
      <w:kern w:val="2"/>
      <w:sz w:val="32"/>
      <w:szCs w:val="32"/>
    </w:rPr>
  </w:style>
  <w:style w:type="paragraph" w:styleId="4">
    <w:name w:val="heading 4"/>
    <w:pPr>
      <w:widowControl w:val="0"/>
      <w:overflowPunct w:val="0"/>
      <w:topLinePunct/>
      <w:jc w:val="both"/>
      <w:outlineLvl w:val="3"/>
    </w:pPr>
    <w:rPr>
      <w:rFonts w:ascii="Times New Roman" w:eastAsia="方正仿宋_GBK" w:hAnsi="Times New Roman"/>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pPr>
      <w:spacing w:before="100" w:beforeAutospacing="1" w:after="100" w:afterAutospacing="1"/>
    </w:pPr>
    <w:rPr>
      <w:rFonts w:ascii="宋体" w:eastAsia="仿宋_GB2312" w:hAnsi="宋体"/>
      <w:sz w:val="24"/>
    </w:rPr>
  </w:style>
  <w:style w:type="table" w:styleId="a6">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Char"/>
    <w:rsid w:val="005D4DFD"/>
    <w:rPr>
      <w:sz w:val="18"/>
      <w:szCs w:val="18"/>
    </w:rPr>
  </w:style>
  <w:style w:type="character" w:customStyle="1" w:styleId="Char">
    <w:name w:val="批注框文本 Char"/>
    <w:basedOn w:val="a0"/>
    <w:link w:val="a7"/>
    <w:rsid w:val="005D4DFD"/>
    <w:rPr>
      <w:rFonts w:ascii="Times New Roman" w:eastAsia="方正仿宋_GBK"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home\lihx\.local\share\Kingsoft\office6\templates\officialversiontemplate\officialprinting\custom\&#20132;&#36890;&#36816;&#36755;&#37096;&#21150;&#20844;&#21381;&#25991;&#20214;.uott3"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交通运输部办公厅文件.uott3</Template>
  <TotalTime>3</TotalTime>
  <Pages>11</Pages>
  <Words>713</Words>
  <Characters>4069</Characters>
  <Application>Microsoft Office Word</Application>
  <DocSecurity>0</DocSecurity>
  <Lines>33</Lines>
  <Paragraphs>9</Paragraphs>
  <ScaleCrop>false</ScaleCrop>
  <Company>CHINA</Company>
  <LinksUpToDate>false</LinksUpToDate>
  <CharactersWithSpaces>4773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lihx</dc:creator>
  <cp:lastModifiedBy>USER</cp:lastModifiedBy>
  <cp:revision>3</cp:revision>
  <cp:lastPrinted>2025-12-29T17:43:00Z</cp:lastPrinted>
  <dcterms:created xsi:type="dcterms:W3CDTF">2025-12-30T08:39:00Z</dcterms:created>
  <dcterms:modified xsi:type="dcterms:W3CDTF">2025-12-30T08:47:00Z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2052-12.9.0.21229</vt:lpwstr>
  </property>
  <property fmtid="{D5CDD505-2E9C-101B-9397-08002B2CF9AE}" pid="3" name="ICV">
    <vt:lpwstr>EEDA6FD13F516488E38A5369D0D215F8_43</vt:lpwstr>
  </property>
  <property fmtid="{D5CDD505-2E9C-101B-9397-08002B2CF9AE}" pid="4" name="公文编号">
    <vt:lpwstr>NW10129291</vt:lpwstr>
  </property>
  <property fmtid="{D5CDD505-2E9C-101B-9397-08002B2CF9AE}" pid="5" name="文种">
    <vt:lpwstr>交通运输部办公厅文件</vt:lpwstr>
  </property>
  <property fmtid="{D5CDD505-2E9C-101B-9397-08002B2CF9AE}" pid="6" name="份号">
    <vt:lpwstr>000200</vt:lpwstr>
  </property>
  <property fmtid="{D5CDD505-2E9C-101B-9397-08002B2CF9AE}" pid="7" name="密级和保密期限">
    <vt:lpwstr>非密</vt:lpwstr>
  </property>
  <property fmtid="{D5CDD505-2E9C-101B-9397-08002B2CF9AE}" pid="8" name="发文机关标志">
    <vt:lpwstr>科技司</vt:lpwstr>
  </property>
  <property fmtid="{D5CDD505-2E9C-101B-9397-08002B2CF9AE}" pid="9" name="发文字号">
    <vt:lpwstr>交办科技〔2025〕74号</vt:lpwstr>
  </property>
  <property fmtid="{D5CDD505-2E9C-101B-9397-08002B2CF9AE}" pid="10" name="签发人">
    <vt:lpwstr>王刚</vt:lpwstr>
  </property>
  <property fmtid="{D5CDD505-2E9C-101B-9397-08002B2CF9AE}" pid="11" name="标题">
    <vt:lpwstr>交通运输部办公厅关于印发部级_x000d_科技创新平台管理办法的通知</vt:lpwstr>
  </property>
  <property fmtid="{D5CDD505-2E9C-101B-9397-08002B2CF9AE}" pid="12" name="主送机关">
    <vt:lpwstr>各省、自治区、直辖市、新疆生产建设兵团交通运输厅（局、委），中央管理的交通运输企业，各有关高校，部属各单位，部内各司局：</vt:lpwstr>
  </property>
  <property fmtid="{D5CDD505-2E9C-101B-9397-08002B2CF9AE}" pid="13" name="附件说明">
    <vt:lpwstr/>
  </property>
  <property fmtid="{D5CDD505-2E9C-101B-9397-08002B2CF9AE}" pid="14" name="发文机关署名">
    <vt:lpwstr/>
  </property>
  <property fmtid="{D5CDD505-2E9C-101B-9397-08002B2CF9AE}" pid="15" name="成文日期">
    <vt:lpwstr>2025年12月25日</vt:lpwstr>
  </property>
  <property fmtid="{D5CDD505-2E9C-101B-9397-08002B2CF9AE}" pid="16" name="印发机关">
    <vt:lpwstr>交通运输部</vt:lpwstr>
  </property>
  <property fmtid="{D5CDD505-2E9C-101B-9397-08002B2CF9AE}" pid="17" name="印发日期">
    <vt:lpwstr>2025年12月26日</vt:lpwstr>
  </property>
  <property fmtid="{D5CDD505-2E9C-101B-9397-08002B2CF9AE}" pid="18" name="文号">
    <vt:lpwstr>交办科技〔2025〕74号</vt:lpwstr>
  </property>
  <property fmtid="{D5CDD505-2E9C-101B-9397-08002B2CF9AE}" pid="19" name="公开属性">
    <vt:lpwstr>（此件公开发布）</vt:lpwstr>
  </property>
  <property fmtid="{D5CDD505-2E9C-101B-9397-08002B2CF9AE}" pid="20" name="FJ_标题">
    <vt:lpwstr>交通运输部重点实验室管理办法</vt:lpwstr>
  </property>
  <property fmtid="{D5CDD505-2E9C-101B-9397-08002B2CF9AE}" pid="21" name="FJ_标题_1">
    <vt:lpwstr>交通运输部工程研究与技术_x000d_创新中心管理办法</vt:lpwstr>
  </property>
  <property fmtid="{D5CDD505-2E9C-101B-9397-08002B2CF9AE}" pid="22" name="FJ_标题_2">
    <vt:lpwstr>交通运输部野外科学观测_x000d_研究站管理办法</vt:lpwstr>
  </property>
</Properties>
</file>