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C71EE3">
      <w:pPr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附件1</w:t>
      </w:r>
    </w:p>
    <w:p w14:paraId="3E214780">
      <w:pPr>
        <w:jc w:val="center"/>
        <w:rPr>
          <w:rFonts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2025交通（公路）出行服务实践案例征集</w:t>
      </w:r>
    </w:p>
    <w:p w14:paraId="77853E42">
      <w:pPr>
        <w:jc w:val="center"/>
        <w:rPr>
          <w:rFonts w:ascii="黑体" w:hAnsi="黑体" w:eastAsia="黑体" w:cs="黑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管理办法</w:t>
      </w:r>
    </w:p>
    <w:p w14:paraId="7EE47F5B">
      <w:pPr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第一章 总则</w:t>
      </w:r>
    </w:p>
    <w:p w14:paraId="313A17F6">
      <w:pPr>
        <w:ind w:firstLine="560" w:firstLineChars="200"/>
        <w:jc w:val="left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为充分挖掘交通（公路）出行服务实践案例，提炼一批高质量、有特色、可推广的服务样本，调动行业活力与动能，着力提升出行服务水平，中国交通企业管理协会出行服务分会（筹）在充分征求行业主管部门、公路和相关服务企业意见和建议的基础上，决定开展“2025交通（公路）出行服务实践案例征集”（以下简称“实践案例征集”）。为确保实践案例征集科学、公正、高质量开展，特制定本办法。</w:t>
      </w:r>
    </w:p>
    <w:p w14:paraId="7096FD1E">
      <w:pPr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第二章 原则与设置</w:t>
      </w:r>
    </w:p>
    <w:p w14:paraId="2ADD0B4C">
      <w:pPr>
        <w:ind w:firstLine="560" w:firstLineChars="200"/>
        <w:jc w:val="left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第一条 实践案例征集坚持公平、公正、公开的原则。</w:t>
      </w:r>
    </w:p>
    <w:p w14:paraId="1D564972">
      <w:pPr>
        <w:ind w:firstLine="560" w:firstLineChars="200"/>
        <w:jc w:val="left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第二条 实践案例推选成果将紧扣出行服务升级核心方向，分类设置多维度实践案例，全面覆盖服务实践、技术应用、运营管理、理念革新等关键领域，具体分为5A级实践案例，4A级实践案例和3A级实践案例。</w:t>
      </w:r>
    </w:p>
    <w:p w14:paraId="1C21EAD3">
      <w:pPr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第三章 条件和范围</w:t>
      </w:r>
    </w:p>
    <w:p w14:paraId="110A54E8">
      <w:pPr>
        <w:ind w:firstLine="560" w:firstLineChars="200"/>
        <w:jc w:val="left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第三条 参与单位须为中国交通企业管理协会会员单位。</w:t>
      </w:r>
    </w:p>
    <w:p w14:paraId="30C4F80F">
      <w:pPr>
        <w:pStyle w:val="18"/>
        <w:ind w:left="0" w:leftChars="0" w:firstLine="56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第四条 每个单位报送案例数量不超过5个。</w:t>
      </w:r>
    </w:p>
    <w:p w14:paraId="47BAE153">
      <w:pPr>
        <w:ind w:firstLine="560" w:firstLineChars="200"/>
        <w:jc w:val="left"/>
        <w:rPr>
          <w:rFonts w:ascii="华文仿宋" w:hAnsi="华文仿宋" w:eastAsia="华文仿宋"/>
          <w:color w:val="FF0000"/>
          <w:sz w:val="44"/>
          <w:szCs w:val="44"/>
        </w:rPr>
      </w:pPr>
      <w:r>
        <w:rPr>
          <w:rFonts w:hint="eastAsia" w:ascii="华文仿宋" w:hAnsi="华文仿宋" w:eastAsia="华文仿宋"/>
          <w:sz w:val="28"/>
          <w:szCs w:val="28"/>
        </w:rPr>
        <w:t>第五条 内容聚焦交通（公路）出行服务领域的实践案例，包括但不限于以下内容：</w:t>
      </w:r>
    </w:p>
    <w:p w14:paraId="444B2B5F">
      <w:pPr>
        <w:ind w:firstLine="561" w:firstLineChars="200"/>
        <w:rPr>
          <w:rFonts w:ascii="华文仿宋" w:hAnsi="华文仿宋" w:eastAsia="华文仿宋"/>
          <w:b/>
          <w:bCs/>
          <w:sz w:val="28"/>
          <w:szCs w:val="28"/>
        </w:rPr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（一）全场景出行服务升级与体验焕新</w:t>
      </w:r>
    </w:p>
    <w:p w14:paraId="63DE7FBC">
      <w:pPr>
        <w:ind w:firstLine="560" w:firstLineChars="20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围绕公路出行者出行过程中的休憩、购物、餐饮、特殊群体服务核心场景，以提升出行舒适度、便捷度、幸福感为目标，重点涵盖以下实践方向：​</w:t>
      </w:r>
    </w:p>
    <w:p w14:paraId="2F65A73B">
      <w:pPr>
        <w:ind w:firstLine="561" w:firstLineChars="20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1、智慧便捷出行服务：</w:t>
      </w:r>
      <w:r>
        <w:rPr>
          <w:rFonts w:hint="eastAsia" w:ascii="华文仿宋" w:hAnsi="华文仿宋" w:eastAsia="华文仿宋"/>
          <w:sz w:val="28"/>
          <w:szCs w:val="28"/>
        </w:rPr>
        <w:t>覆盖从出行规划、途中服务到目的地衔接的全链条，包括但不限于：出行信息精准推送、个性化路径规划、收费站智慧化升级（如 ETC 无感通行优化、混合车道智能调度等）；途中智慧化服务（如扫码点餐、无感支付、智能储物柜、母婴室升级、无障碍设施优化）等；</w:t>
      </w:r>
    </w:p>
    <w:p w14:paraId="1FBDF5B3">
      <w:pPr>
        <w:ind w:firstLine="561" w:firstLineChars="20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2、交通出行融合服务：</w:t>
      </w:r>
      <w:r>
        <w:rPr>
          <w:rFonts w:hint="eastAsia" w:ascii="华文仿宋" w:hAnsi="华文仿宋" w:eastAsia="华文仿宋"/>
          <w:sz w:val="28"/>
          <w:szCs w:val="28"/>
        </w:rPr>
        <w:t>“交通+文旅”“交通+乡村振兴”“交通+体育”等融合模式，打造沉浸式文旅空间、地域特色消费场景、乡村集市等；高速公路主题服务区、开放式服务区等服务场景的升级实践；</w:t>
      </w:r>
    </w:p>
    <w:p w14:paraId="353EAA89">
      <w:pPr>
        <w:ind w:firstLine="561" w:firstLineChars="20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3、特色消费与便民服务：</w:t>
      </w:r>
      <w:r>
        <w:rPr>
          <w:rFonts w:hint="eastAsia" w:ascii="华文仿宋" w:hAnsi="华文仿宋" w:eastAsia="华文仿宋"/>
          <w:sz w:val="28"/>
          <w:szCs w:val="28"/>
        </w:rPr>
        <w:t>在地好物、在地美食（地域美食 IP 打造）、农特产品展销、非遗文化体验、消费场景重构、24 小时便民服务（如应急药品、针线包、充电服务）等；</w:t>
      </w:r>
    </w:p>
    <w:p w14:paraId="34BCE720">
      <w:pPr>
        <w:ind w:firstLine="561" w:firstLineChars="20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4、特殊群体关爱服务：</w:t>
      </w:r>
      <w:r>
        <w:rPr>
          <w:rFonts w:hint="eastAsia" w:ascii="华文仿宋" w:hAnsi="华文仿宋" w:eastAsia="华文仿宋"/>
          <w:sz w:val="28"/>
          <w:szCs w:val="28"/>
        </w:rPr>
        <w:t>包括老年人出行辅助、儿童友好设施、残疾人无障碍服务、宠物服务等；</w:t>
      </w:r>
    </w:p>
    <w:p w14:paraId="645A06DF">
      <w:pPr>
        <w:ind w:firstLine="561" w:firstLineChars="20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5、司机之家升级服务：</w:t>
      </w:r>
      <w:r>
        <w:rPr>
          <w:rFonts w:hint="eastAsia" w:ascii="华文仿宋" w:hAnsi="华文仿宋" w:eastAsia="华文仿宋"/>
          <w:sz w:val="28"/>
          <w:szCs w:val="28"/>
        </w:rPr>
        <w:t>为货车司机提供的司机之家标准化与暖心服务案例，包括基础服务规范化、增值服务叠加、安全保障升级等，让司机放心停车、安心休息。</w:t>
      </w:r>
    </w:p>
    <w:p w14:paraId="4E3B5149">
      <w:pPr>
        <w:ind w:firstLine="561" w:firstLineChars="200"/>
        <w:rPr>
          <w:rFonts w:ascii="华文仿宋" w:hAnsi="华文仿宋" w:eastAsia="华文仿宋"/>
          <w:b/>
          <w:bCs/>
          <w:sz w:val="28"/>
          <w:szCs w:val="28"/>
        </w:rPr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（二）全链条车辆保障服务升级与效能提升</w:t>
      </w:r>
    </w:p>
    <w:p w14:paraId="15919884">
      <w:pPr>
        <w:pStyle w:val="18"/>
        <w:ind w:left="0" w:leftChars="0" w:firstLine="56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围绕车辆行驶中的能源补给、车辆维修、行车安全等核心需求，以提升车辆保障能力和安全性为核心目标，重点涵盖以下实践方向：</w:t>
      </w:r>
    </w:p>
    <w:p w14:paraId="4D8D4462">
      <w:pPr>
        <w:pStyle w:val="18"/>
        <w:ind w:left="0" w:leftChars="0" w:firstLine="561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1、车辆维修保障服务：</w:t>
      </w:r>
      <w:r>
        <w:rPr>
          <w:rFonts w:hint="eastAsia" w:ascii="华文仿宋" w:hAnsi="华文仿宋" w:eastAsia="华文仿宋"/>
          <w:sz w:val="28"/>
          <w:szCs w:val="28"/>
        </w:rPr>
        <w:t>车辆简易维修、轮胎更换、故障检测等“一站式”服务，移动维保上门服务、预约维保绿色通道等；</w:t>
      </w:r>
    </w:p>
    <w:p w14:paraId="3F7AD43A">
      <w:pPr>
        <w:pStyle w:val="18"/>
        <w:ind w:left="0" w:leftChars="0" w:firstLine="561"/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2、车辆安全与救援服务：</w:t>
      </w:r>
      <w:r>
        <w:rPr>
          <w:rFonts w:hint="eastAsia" w:ascii="华文仿宋" w:hAnsi="华文仿宋" w:eastAsia="华文仿宋"/>
          <w:sz w:val="28"/>
          <w:szCs w:val="28"/>
        </w:rPr>
        <w:t>覆盖路网通行全时段、全路段，包括车辆救援服务、恶劣天气出行引导等；</w:t>
      </w:r>
    </w:p>
    <w:p w14:paraId="72A5C554">
      <w:pPr>
        <w:pStyle w:val="18"/>
        <w:ind w:left="0" w:leftChars="0" w:firstLine="561"/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3、车辆引流与调度服务：</w:t>
      </w:r>
      <w:r>
        <w:rPr>
          <w:rFonts w:hint="eastAsia" w:ascii="华文仿宋" w:hAnsi="华文仿宋" w:eastAsia="华文仿宋"/>
          <w:sz w:val="28"/>
          <w:szCs w:val="28"/>
        </w:rPr>
        <w:t>节假日车辆分流调度、收费站潮汐车道智能调节、服务区车辆引导、分区停放等；</w:t>
      </w:r>
    </w:p>
    <w:p w14:paraId="09983266">
      <w:pPr>
        <w:pStyle w:val="18"/>
        <w:ind w:left="0" w:leftChars="0" w:firstLine="561"/>
        <w:rPr>
          <w:rFonts w:ascii="华文仿宋" w:hAnsi="华文仿宋" w:eastAsia="华文仿宋"/>
          <w:b/>
          <w:bCs/>
          <w:sz w:val="28"/>
          <w:szCs w:val="28"/>
        </w:rPr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4、车辆能源补给服务：</w:t>
      </w:r>
      <w:r>
        <w:rPr>
          <w:rFonts w:hint="eastAsia" w:ascii="华文仿宋" w:hAnsi="华文仿宋" w:eastAsia="华文仿宋"/>
          <w:sz w:val="28"/>
          <w:szCs w:val="28"/>
        </w:rPr>
        <w:t>汽油、柴油、天然气、氢能等多元服务及新能源车辆充（换）电服务等；</w:t>
      </w:r>
    </w:p>
    <w:p w14:paraId="5F75458B">
      <w:pPr>
        <w:pStyle w:val="18"/>
        <w:ind w:left="0" w:leftChars="0" w:firstLine="561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5、货车专属服务：</w:t>
      </w:r>
      <w:r>
        <w:rPr>
          <w:rFonts w:hint="eastAsia" w:ascii="华文仿宋" w:hAnsi="华文仿宋" w:eastAsia="华文仿宋"/>
          <w:sz w:val="28"/>
          <w:szCs w:val="28"/>
        </w:rPr>
        <w:t>24 小时智能加水、尿素加注、扫码绑定操作、水资源节约管控、加注效率优化（如加水时间缩短、多车辆并行加注）等；</w:t>
      </w:r>
    </w:p>
    <w:p w14:paraId="163AF55E">
      <w:pPr>
        <w:pStyle w:val="18"/>
        <w:ind w:left="0" w:leftChars="0" w:firstLine="561"/>
      </w:pPr>
      <w:r>
        <w:rPr>
          <w:rFonts w:hint="eastAsia" w:ascii="华文仿宋" w:hAnsi="华文仿宋" w:eastAsia="华文仿宋"/>
          <w:b/>
          <w:bCs/>
          <w:sz w:val="28"/>
          <w:szCs w:val="28"/>
        </w:rPr>
        <w:t>6、房车专属服务：</w:t>
      </w:r>
      <w:r>
        <w:rPr>
          <w:rFonts w:hint="eastAsia" w:ascii="华文仿宋" w:hAnsi="华文仿宋" w:eastAsia="华文仿宋"/>
          <w:sz w:val="28"/>
          <w:szCs w:val="28"/>
        </w:rPr>
        <w:t>房车能源补给、房车营地服务等。</w:t>
      </w:r>
    </w:p>
    <w:p w14:paraId="3B556146">
      <w:pPr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第四章 组织和管理</w:t>
      </w:r>
    </w:p>
    <w:p w14:paraId="3E15EB3F">
      <w:pPr>
        <w:pStyle w:val="18"/>
        <w:ind w:left="0" w:leftChars="0" w:firstLine="56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第六条 为加强实践案例征集的组织领导，确保顺利实施，成立出行服务实践案例专家委员会。委员由行业有关专家组成，设主任委员1名、副主任委员1-2名、委员7-9名，负责实践案例论证工作。</w:t>
      </w:r>
    </w:p>
    <w:p w14:paraId="3DA64A3D">
      <w:pPr>
        <w:pStyle w:val="18"/>
        <w:ind w:left="0" w:leftChars="0" w:firstLine="56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华文仿宋" w:hAnsi="华文仿宋" w:eastAsia="华文仿宋"/>
          <w:sz w:val="28"/>
          <w:szCs w:val="28"/>
        </w:rPr>
        <w:t>第七条 案例征集办公室设在中国交通企业管理协会出行服务分会（筹），负责组织实施、形式审查、专家论证及其他征集工作。</w:t>
      </w:r>
    </w:p>
    <w:p w14:paraId="5A45CC2B">
      <w:pPr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第五章 案例标准</w:t>
      </w:r>
    </w:p>
    <w:p w14:paraId="50FF17DD">
      <w:pPr>
        <w:ind w:firstLine="638" w:firstLineChars="228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第八条 报送案例须紧扣主题方向，符合发展性、成效性、示范性和合规性原则。</w:t>
      </w:r>
    </w:p>
    <w:p w14:paraId="0A3EB752">
      <w:pPr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第六章 活动流程</w:t>
      </w:r>
    </w:p>
    <w:p w14:paraId="07D535FB">
      <w:pPr>
        <w:ind w:firstLine="638" w:firstLineChars="228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第九条 案例征集。</w:t>
      </w:r>
      <w:r>
        <w:rPr>
          <w:rFonts w:ascii="华文仿宋" w:hAnsi="华文仿宋" w:eastAsia="华文仿宋"/>
          <w:sz w:val="28"/>
          <w:szCs w:val="28"/>
        </w:rPr>
        <w:t>单位自愿</w:t>
      </w:r>
      <w:r>
        <w:rPr>
          <w:rFonts w:hint="eastAsia" w:ascii="华文仿宋" w:hAnsi="华文仿宋" w:eastAsia="华文仿宋"/>
          <w:sz w:val="28"/>
          <w:szCs w:val="28"/>
        </w:rPr>
        <w:t>参与或</w:t>
      </w:r>
      <w:r>
        <w:rPr>
          <w:rFonts w:ascii="华文仿宋" w:hAnsi="华文仿宋" w:eastAsia="华文仿宋"/>
          <w:sz w:val="28"/>
          <w:szCs w:val="28"/>
        </w:rPr>
        <w:t>理事单位推荐；</w:t>
      </w:r>
      <w:r>
        <w:rPr>
          <w:rFonts w:hint="eastAsia" w:ascii="华文仿宋" w:hAnsi="华文仿宋" w:eastAsia="华文仿宋"/>
          <w:sz w:val="28"/>
          <w:szCs w:val="28"/>
        </w:rPr>
        <w:t>申报单位须按要求填写《交通（公路）出行服务实践案例征集表》，并将征集表和其他补充材料发至指定邮箱。</w:t>
      </w:r>
    </w:p>
    <w:p w14:paraId="1EAEDF2A">
      <w:pPr>
        <w:pStyle w:val="18"/>
        <w:ind w:left="0" w:leftChars="0" w:firstLine="56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第十条 形式审查。征集办公室按照实践案例要求进行形式审查，符合条件的提交专家委员会进行论证。</w:t>
      </w:r>
    </w:p>
    <w:p w14:paraId="3B722B47">
      <w:pPr>
        <w:pStyle w:val="18"/>
        <w:ind w:left="0" w:leftChars="0" w:firstLine="56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第十一条 专家论证。专家委员会对申报材料进行论证，按照实践案例要求确定入选名单。</w:t>
      </w:r>
    </w:p>
    <w:p w14:paraId="32A93CB8">
      <w:pPr>
        <w:pStyle w:val="18"/>
        <w:ind w:left="0" w:leftChars="0" w:firstLine="560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第十二条 成果发布。征集办公室将入选结果报中交企协批准后正式发布。</w:t>
      </w:r>
    </w:p>
    <w:p w14:paraId="2AB1437C">
      <w:pPr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第七章 推广和宣传</w:t>
      </w:r>
    </w:p>
    <w:p w14:paraId="71AE3EF0">
      <w:pPr>
        <w:ind w:firstLine="638" w:firstLineChars="228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华文仿宋" w:hAnsi="华文仿宋" w:eastAsia="华文仿宋"/>
          <w:sz w:val="28"/>
          <w:szCs w:val="28"/>
        </w:rPr>
        <w:t>第十三条 入选案例将纳入交通（公路）出行服务实践案例库，通过官方渠道宣传推广，并为参与单位提供交流展示、经验分享的平台。</w:t>
      </w:r>
    </w:p>
    <w:p w14:paraId="5BB3FBD0">
      <w:pPr>
        <w:jc w:val="center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第八章 附则</w:t>
      </w:r>
    </w:p>
    <w:p w14:paraId="065C8CB6">
      <w:pPr>
        <w:ind w:firstLine="638" w:firstLineChars="228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第十四条 实践案例征集不收取任何费用。</w:t>
      </w:r>
    </w:p>
    <w:p w14:paraId="59D69EBD">
      <w:pPr>
        <w:ind w:firstLine="638" w:firstLineChars="228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第十五条 参与单位应保证案例、成果的原创性。一旦发现存在信息提供不实、伪造等情况，将取消参与资格并收回证书。</w:t>
      </w:r>
    </w:p>
    <w:p w14:paraId="702D93E7">
      <w:pPr>
        <w:ind w:firstLine="638" w:firstLineChars="228"/>
        <w:rPr>
          <w:rFonts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第十六条 本办法由中国交通企业管理协会出行服务分会（筹）负责解释。</w:t>
      </w:r>
    </w:p>
    <w:p w14:paraId="10573EF0">
      <w:pPr>
        <w:ind w:firstLine="638" w:firstLineChars="228"/>
        <w:rPr>
          <w:rFonts w:ascii="仿宋" w:hAnsi="仿宋" w:eastAsia="仿宋"/>
          <w:color w:val="000000"/>
        </w:rPr>
      </w:pPr>
      <w:r>
        <w:rPr>
          <w:rFonts w:hint="eastAsia" w:ascii="华文仿宋" w:hAnsi="华文仿宋" w:eastAsia="华文仿宋"/>
          <w:sz w:val="28"/>
          <w:szCs w:val="28"/>
        </w:rPr>
        <w:t>第十七条 本办法自2025年12月1日起施行。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">
    <w:panose1 w:val="020B0604020202090204"/>
    <w:charset w:val="00"/>
    <w:family w:val="swiss"/>
    <w:pitch w:val="default"/>
    <w:sig w:usb0="E0000AFF" w:usb1="00007843" w:usb2="00000001" w:usb3="00000000" w:csb0="400001BF" w:csb1="DFF7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altName w:val="方正仿宋_GBK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中宋">
    <w:altName w:val="汉仪书宋二KW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4D7D2F"/>
    <w:rsid w:val="00183364"/>
    <w:rsid w:val="00367B6A"/>
    <w:rsid w:val="003A3497"/>
    <w:rsid w:val="00433ECB"/>
    <w:rsid w:val="00465144"/>
    <w:rsid w:val="004A2B19"/>
    <w:rsid w:val="004D7D2F"/>
    <w:rsid w:val="00504919"/>
    <w:rsid w:val="00772691"/>
    <w:rsid w:val="007778A3"/>
    <w:rsid w:val="007B7146"/>
    <w:rsid w:val="0089792E"/>
    <w:rsid w:val="00CB1504"/>
    <w:rsid w:val="00D1548E"/>
    <w:rsid w:val="00D558BA"/>
    <w:rsid w:val="00EC66D0"/>
    <w:rsid w:val="00F62914"/>
    <w:rsid w:val="071D21A4"/>
    <w:rsid w:val="08292466"/>
    <w:rsid w:val="1D360203"/>
    <w:rsid w:val="1D5F1562"/>
    <w:rsid w:val="27321A96"/>
    <w:rsid w:val="2BE22F96"/>
    <w:rsid w:val="3ABF38F0"/>
    <w:rsid w:val="3BBF7482"/>
    <w:rsid w:val="3EAA2611"/>
    <w:rsid w:val="40AE4A39"/>
    <w:rsid w:val="423A66C4"/>
    <w:rsid w:val="4A2CC645"/>
    <w:rsid w:val="4A7933B4"/>
    <w:rsid w:val="4AA33C5B"/>
    <w:rsid w:val="533E519B"/>
    <w:rsid w:val="57DFE1D8"/>
    <w:rsid w:val="5FBC176D"/>
    <w:rsid w:val="5FFF3807"/>
    <w:rsid w:val="60A56859"/>
    <w:rsid w:val="67DF08A2"/>
    <w:rsid w:val="7842E68D"/>
    <w:rsid w:val="787B0173"/>
    <w:rsid w:val="7B7B825E"/>
    <w:rsid w:val="7BF100EE"/>
    <w:rsid w:val="7C3FED12"/>
    <w:rsid w:val="7CDC197D"/>
    <w:rsid w:val="7FFD482B"/>
    <w:rsid w:val="AEF7A40E"/>
    <w:rsid w:val="BFB7DEA3"/>
    <w:rsid w:val="E3FF43A3"/>
    <w:rsid w:val="EBEBA2B8"/>
    <w:rsid w:val="FBBFDD86"/>
    <w:rsid w:val="FBC7CC38"/>
    <w:rsid w:val="FBDFC0AC"/>
    <w:rsid w:val="FFF5F3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6">
    <w:name w:val="Default Paragraph Font"/>
    <w:semiHidden/>
    <w:unhideWhenUsed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30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2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Times New Roman" w:hAnsi="Times New Roman" w:eastAsia="宋体" w:cs="Times New Roman"/>
      <w:kern w:val="0"/>
      <w:sz w:val="24"/>
    </w:rPr>
  </w:style>
  <w:style w:type="paragraph" w:styleId="13">
    <w:name w:val="Title"/>
    <w:basedOn w:val="1"/>
    <w:next w:val="1"/>
    <w:link w:val="29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5">
    <w:name w:val="Table Grid"/>
    <w:basedOn w:val="14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7">
    <w:name w:val="Hyperlink"/>
    <w:basedOn w:val="16"/>
    <w:semiHidden/>
    <w:unhideWhenUsed/>
    <w:qFormat/>
    <w:uiPriority w:val="99"/>
    <w:rPr>
      <w:color w:val="0000FF"/>
      <w:u w:val="single"/>
    </w:rPr>
  </w:style>
  <w:style w:type="paragraph" w:customStyle="1" w:styleId="18">
    <w:name w:val="正文首行缩进 21"/>
    <w:basedOn w:val="19"/>
    <w:next w:val="12"/>
    <w:qFormat/>
    <w:uiPriority w:val="0"/>
    <w:pPr>
      <w:ind w:firstLine="420" w:firstLineChars="200"/>
    </w:pPr>
    <w:rPr>
      <w:szCs w:val="20"/>
    </w:rPr>
  </w:style>
  <w:style w:type="paragraph" w:customStyle="1" w:styleId="19">
    <w:name w:val="正文文本缩进1"/>
    <w:basedOn w:val="1"/>
    <w:qFormat/>
    <w:uiPriority w:val="0"/>
    <w:pPr>
      <w:spacing w:after="120"/>
      <w:ind w:left="420" w:leftChars="200"/>
    </w:pPr>
  </w:style>
  <w:style w:type="character" w:customStyle="1" w:styleId="20">
    <w:name w:val="标题 1 Char"/>
    <w:basedOn w:val="16"/>
    <w:link w:val="2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21">
    <w:name w:val="标题 2 Char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2">
    <w:name w:val="标题 3 Char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3">
    <w:name w:val="标题 4 Char"/>
    <w:basedOn w:val="16"/>
    <w:link w:val="5"/>
    <w:semiHidden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4">
    <w:name w:val="标题 5 Char"/>
    <w:basedOn w:val="16"/>
    <w:link w:val="6"/>
    <w:semiHidden/>
    <w:qFormat/>
    <w:uiPriority w:val="9"/>
    <w:rPr>
      <w:rFonts w:cstheme="majorBidi"/>
      <w:color w:val="0F4761" w:themeColor="accent1" w:themeShade="BF"/>
      <w:sz w:val="24"/>
    </w:rPr>
  </w:style>
  <w:style w:type="character" w:customStyle="1" w:styleId="25">
    <w:name w:val="标题 6 Char"/>
    <w:basedOn w:val="16"/>
    <w:link w:val="7"/>
    <w:semiHidden/>
    <w:uiPriority w:val="9"/>
    <w:rPr>
      <w:rFonts w:cstheme="majorBidi"/>
      <w:b/>
      <w:bCs/>
      <w:color w:val="0F4761" w:themeColor="accent1" w:themeShade="BF"/>
    </w:rPr>
  </w:style>
  <w:style w:type="character" w:customStyle="1" w:styleId="26">
    <w:name w:val="标题 7 Char"/>
    <w:basedOn w:val="16"/>
    <w:link w:val="8"/>
    <w:semiHidden/>
    <w:uiPriority w:val="9"/>
    <w:rPr>
      <w:rFonts w:cstheme="majorBidi"/>
      <w:b/>
      <w:bCs/>
      <w:color w:val="585858" w:themeColor="text1" w:themeTint="A6"/>
    </w:rPr>
  </w:style>
  <w:style w:type="character" w:customStyle="1" w:styleId="27">
    <w:name w:val="标题 8 Char"/>
    <w:basedOn w:val="16"/>
    <w:link w:val="9"/>
    <w:semiHidden/>
    <w:qFormat/>
    <w:uiPriority w:val="9"/>
    <w:rPr>
      <w:rFonts w:cstheme="majorBidi"/>
      <w:color w:val="585858" w:themeColor="text1" w:themeTint="A6"/>
    </w:rPr>
  </w:style>
  <w:style w:type="character" w:customStyle="1" w:styleId="28">
    <w:name w:val="标题 9 Char"/>
    <w:basedOn w:val="16"/>
    <w:link w:val="10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9">
    <w:name w:val="标题 Char"/>
    <w:basedOn w:val="16"/>
    <w:link w:val="1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Char"/>
    <w:basedOn w:val="16"/>
    <w:link w:val="11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31">
    <w:name w:val="Quote"/>
    <w:basedOn w:val="1"/>
    <w:next w:val="1"/>
    <w:link w:val="32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2">
    <w:name w:val="引用 Char"/>
    <w:basedOn w:val="16"/>
    <w:link w:val="31"/>
    <w:qFormat/>
    <w:uiPriority w:val="29"/>
    <w:rPr>
      <w:i/>
      <w:iCs/>
      <w:color w:val="3F3F3F" w:themeColor="text1" w:themeTint="BF"/>
    </w:rPr>
  </w:style>
  <w:style w:type="paragraph" w:styleId="33">
    <w:name w:val="List Paragraph"/>
    <w:basedOn w:val="1"/>
    <w:qFormat/>
    <w:uiPriority w:val="34"/>
    <w:pPr>
      <w:ind w:left="720"/>
      <w:contextualSpacing/>
    </w:pPr>
  </w:style>
  <w:style w:type="character" w:customStyle="1" w:styleId="34">
    <w:name w:val="明显强调1"/>
    <w:basedOn w:val="16"/>
    <w:qFormat/>
    <w:uiPriority w:val="21"/>
    <w:rPr>
      <w:i/>
      <w:iCs/>
      <w:color w:val="0F4761" w:themeColor="accent1" w:themeShade="BF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6">
    <w:name w:val="明显引用 Char"/>
    <w:basedOn w:val="16"/>
    <w:link w:val="35"/>
    <w:qFormat/>
    <w:uiPriority w:val="30"/>
    <w:rPr>
      <w:i/>
      <w:iCs/>
      <w:color w:val="0F4761" w:themeColor="accent1" w:themeShade="BF"/>
    </w:rPr>
  </w:style>
  <w:style w:type="character" w:customStyle="1" w:styleId="37">
    <w:name w:val="明显参考1"/>
    <w:basedOn w:val="16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8">
    <w:name w:val="15"/>
    <w:basedOn w:val="16"/>
    <w:qFormat/>
    <w:uiPriority w:val="0"/>
    <w:rPr>
      <w:rFonts w:hint="default" w:ascii="Times New Roman" w:hAnsi="Times New Roman" w:cs="Times New Roman"/>
      <w:b/>
    </w:rPr>
  </w:style>
  <w:style w:type="paragraph" w:customStyle="1" w:styleId="39">
    <w:name w:val="BodyText"/>
    <w:basedOn w:val="1"/>
    <w:qFormat/>
    <w:uiPriority w:val="0"/>
    <w:pPr>
      <w:textAlignment w:val="baseline"/>
    </w:pPr>
    <w:rPr>
      <w:rFonts w:ascii="等线" w:hAnsi="等线" w:eastAsia="等线" w:cs="Times New Roman"/>
      <w:szCs w:val="21"/>
    </w:rPr>
  </w:style>
  <w:style w:type="paragraph" w:customStyle="1" w:styleId="40">
    <w:name w:val="_Style 13"/>
    <w:qFormat/>
    <w:uiPriority w:val="0"/>
    <w:pPr>
      <w:spacing w:before="120" w:after="120" w:line="288" w:lineRule="auto"/>
    </w:pPr>
    <w:rPr>
      <w:rFonts w:ascii="Arial" w:hAnsi="Arial" w:eastAsia="等线" w:cs="Arial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669</Words>
  <Characters>3817</Characters>
  <Lines>31</Lines>
  <Paragraphs>8</Paragraphs>
  <TotalTime>16</TotalTime>
  <ScaleCrop>false</ScaleCrop>
  <LinksUpToDate>false</LinksUpToDate>
  <CharactersWithSpaces>4478</CharactersWithSpaces>
  <Application>WPS Office_12.1.22218.22218_F1E327BC-269C-435d-A152-05C5408002CA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2025-12-16T14:22:00Z</dcterms:created>
  <dc:creator>office</dc:creator>
  <cp:lastModifiedBy>V-E</cp:lastModifiedBy>
  <cp:lastPrinted>2025-12-16T14:21:00Z</cp:lastPrinted>
  <dcterms:modified xsi:type="dcterms:W3CDTF">2025-12-17T09:19:51Z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2052-12.1.22218.22218</vt:lpwstr>
  </property>
  <property fmtid="{D5CDD505-2E9C-101B-9397-08002B2CF9AE}" pid="3" name="ICV">
    <vt:lpwstr>4B95EEA034F6D04F6B060E69F3E6A4A1_42</vt:lpwstr>
  </property>
  <property fmtid="{D5CDD505-2E9C-101B-9397-08002B2CF9AE}" pid="4" name="KSOTemplateDocerSaveRecord">
    <vt:lpwstr>eyJoZGlkIjoiZDBkNzJkNGI1ZWMzZjQzNzMwZWY3YTk0ZWY2MjZhYWEiLCJ1c2VySWQiOiIxMjkyMDM5NjkzIn0=</vt:lpwstr>
  </property>
</Properties>
</file>