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0E5F26">
      <w:pPr>
        <w:adjustRightInd/>
        <w:snapToGrid/>
        <w:spacing w:line="580" w:lineRule="exact"/>
        <w:ind w:firstLine="640" w:firstLineChars="200"/>
        <w:jc w:val="both"/>
        <w:outlineLvl w:val="9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auto"/>
          <w:sz w:val="32"/>
          <w:szCs w:val="32"/>
        </w:rPr>
        <w:t>2</w:t>
      </w:r>
    </w:p>
    <w:p w14:paraId="67091876">
      <w:pPr>
        <w:adjustRightInd w:val="0"/>
        <w:snapToGrid w:val="0"/>
        <w:spacing w:line="240" w:lineRule="auto"/>
        <w:jc w:val="center"/>
        <w:outlineLvl w:val="0"/>
        <w:rPr>
          <w:rFonts w:hint="default" w:ascii="Times New Roman" w:hAnsi="Times New Roman" w:cs="Times New Roman"/>
          <w:color w:val="auto"/>
          <w:sz w:val="44"/>
          <w:szCs w:val="44"/>
        </w:rPr>
      </w:pPr>
      <w:bookmarkStart w:id="6" w:name="_GoBack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试点任务典型经验</w:t>
      </w:r>
      <w:bookmarkEnd w:id="6"/>
    </w:p>
    <w:p w14:paraId="7BB777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textAlignment w:val="auto"/>
        <w:rPr>
          <w:rFonts w:hint="default" w:ascii="Times New Roman" w:hAnsi="Times New Roman" w:eastAsia="黑体" w:cs="Times New Roman"/>
          <w:bCs/>
          <w:color w:val="auto"/>
          <w:sz w:val="44"/>
          <w:szCs w:val="44"/>
          <w:lang w:val="en-US" w:eastAsia="zh-CN"/>
        </w:rPr>
      </w:pPr>
      <w:bookmarkStart w:id="0" w:name="_Toc30462"/>
    </w:p>
    <w:p w14:paraId="072025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</w:pP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val="en-US" w:eastAsia="zh-CN"/>
        </w:rPr>
        <w:t>一、构建</w:t>
      </w:r>
      <w:r>
        <w:rPr>
          <w:rFonts w:hint="eastAsia" w:ascii="黑体" w:hAnsi="黑体" w:eastAsia="黑体" w:cs="黑体"/>
          <w:bCs/>
          <w:color w:val="auto"/>
          <w:sz w:val="32"/>
          <w:szCs w:val="24"/>
        </w:rPr>
        <w:t>“枢纽直联”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布局模式</w:t>
      </w:r>
      <w:bookmarkEnd w:id="0"/>
      <w:bookmarkStart w:id="1" w:name="_Toc19042"/>
    </w:p>
    <w:p w14:paraId="7C887F09">
      <w:pPr>
        <w:keepNext w:val="0"/>
        <w:keepLines w:val="0"/>
        <w:spacing w:line="58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为破解交通枢纽各自独立、衔接不畅的问题，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构建以轨道交通为主导的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综合客运枢纽集群集疏运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体系。针对萧山机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</w:rPr>
        <w:t>场、杭州东站、杭州西站等门户型枢纽，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lang w:val="en-US" w:eastAsia="zh-CN"/>
        </w:rPr>
        <w:t>构建“三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shd w:val="clear" w:color="auto" w:fill="FFFFFF"/>
          <w:lang w:val="en-US" w:eastAsia="zh-CN"/>
        </w:rPr>
        <w:t>枢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lang w:val="en-US" w:eastAsia="zh-CN"/>
        </w:rPr>
        <w:t>一轴”格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局，新建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机场轨道快线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（轨道交通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19号线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实现萧山机场、杭州东站、杭州西站直连直通，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城市东西45分钟可达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相比其他地铁线路出行时间缩短20分钟以上。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杭州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eastAsia="zh-CN"/>
        </w:rPr>
        <w:t>已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建成和在建铁路车站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客运枢纽均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实现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与轨道交通无缝衔接，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通过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轨道交通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网可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实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shd w:val="clear" w:color="auto" w:fill="auto"/>
        </w:rPr>
        <w:t>现枢纽间“一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u w:val="none"/>
          <w:shd w:val="clear" w:color="auto" w:fill="auto"/>
        </w:rPr>
        <w:t>次换乘”可达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u w:val="none"/>
          <w:shd w:val="clear" w:color="auto" w:fill="auto"/>
          <w:lang w:val="en-US" w:eastAsia="zh-CN"/>
        </w:rPr>
        <w:t>。推进都市圈轨道网一体化发展，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u w:val="none"/>
          <w:shd w:val="clear" w:color="auto" w:fill="auto"/>
          <w:lang w:val="en-US" w:eastAsia="zh-CN" w:bidi="ar"/>
        </w:rPr>
        <w:t>杭绍城际与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杭州地铁5号线、杭海城际与杭州地铁9号线贯通运营，杭嘉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shd w:val="clear" w:color="auto" w:fill="FFFFFF"/>
          <w:lang w:val="en-US" w:eastAsia="zh-CN" w:bidi="ar"/>
        </w:rPr>
        <w:t>绍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轨道实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“三地、一网、一票”互联互通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。推进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铁路和地铁安检标准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统一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</w:rPr>
        <w:t>，杭州东站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eastAsia="zh-CN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杭州西站通过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地铁安检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前置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实现高铁、地铁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单向免检。</w:t>
      </w:r>
    </w:p>
    <w:p w14:paraId="57F853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</w:pP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二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eastAsia="zh-CN"/>
        </w:rPr>
        <w:t>、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val="en-US" w:eastAsia="zh-CN"/>
        </w:rPr>
        <w:t>打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lang w:val="en-US" w:eastAsia="zh-CN"/>
        </w:rPr>
        <w:t>造</w:t>
      </w:r>
      <w:r>
        <w:rPr>
          <w:rFonts w:hint="eastAsia" w:ascii="黑体" w:hAnsi="黑体" w:eastAsia="黑体" w:cs="黑体"/>
          <w:bCs/>
          <w:color w:val="auto"/>
          <w:sz w:val="32"/>
          <w:szCs w:val="24"/>
        </w:rPr>
        <w:t>“廊道集约”建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设模式</w:t>
      </w:r>
      <w:bookmarkEnd w:id="1"/>
      <w:bookmarkStart w:id="2" w:name="_Toc18588"/>
    </w:p>
    <w:p w14:paraId="201F5F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推动交通发展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由各种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交通运输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方式相对独立发展向更加注重一体化融合发展转变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综合采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lang w:val="en-US" w:eastAsia="zh-CN"/>
        </w:rPr>
        <w:t>用“廊道归并”理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念，各交通运输方式共用交通廊道和过江通道资源，实现交通集约化发展。统筹不同交通基础设施的建设时序，实现公路、城市道路、轨道交通同步建设，减少重复施工和多次开挖。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将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沪杭甬高速公路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杭州市区段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工程</w:t>
      </w:r>
      <w:r>
        <w:rPr>
          <w:rFonts w:hint="eastAsia" w:ascii="Times New Roman" w:hAnsi="Times New Roman" w:eastAsia="仿宋_GB2312" w:cs="Times New Roman"/>
          <w:strike w:val="0"/>
          <w:color w:val="auto"/>
          <w:sz w:val="32"/>
          <w:szCs w:val="36"/>
          <w:highlight w:val="none"/>
          <w:lang w:val="en-US" w:eastAsia="zh-CN"/>
        </w:rPr>
        <w:t>抬升改造为</w:t>
      </w:r>
      <w:r>
        <w:rPr>
          <w:rFonts w:hint="eastAsia" w:ascii="Times New Roman" w:hAnsi="Times New Roman" w:eastAsia="仿宋_GB2312" w:cs="Times New Roman"/>
          <w:strike w:val="0"/>
          <w:color w:val="auto"/>
          <w:sz w:val="32"/>
          <w:szCs w:val="36"/>
          <w:lang w:val="en-US" w:eastAsia="zh-CN"/>
        </w:rPr>
        <w:t>上层公路、中层轨道交通、下层地面道路的复合廊道，较传统模式节约用地210亩，节约造价30%以上。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新建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彭埠大桥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是国内第一条在城市核心区汇集普铁、高铁、城市轨道、城市快速路及慢行系统的综合交通廊道。</w:t>
      </w:r>
    </w:p>
    <w:p w14:paraId="37D7B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</w:pP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三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eastAsia="zh-CN"/>
        </w:rPr>
        <w:t>、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val="en-US" w:eastAsia="zh-CN"/>
        </w:rPr>
        <w:t>优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lang w:val="en-US" w:eastAsia="zh-CN"/>
        </w:rPr>
        <w:t>化</w:t>
      </w:r>
      <w:r>
        <w:rPr>
          <w:rFonts w:hint="eastAsia" w:ascii="黑体" w:hAnsi="黑体" w:eastAsia="黑体" w:cs="黑体"/>
          <w:bCs/>
          <w:color w:val="auto"/>
          <w:sz w:val="32"/>
          <w:szCs w:val="24"/>
        </w:rPr>
        <w:t>“客货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lang w:val="en-US" w:eastAsia="zh-CN"/>
        </w:rPr>
        <w:t>协调</w:t>
      </w:r>
      <w:r>
        <w:rPr>
          <w:rFonts w:hint="eastAsia" w:ascii="黑体" w:hAnsi="黑体" w:eastAsia="黑体" w:cs="黑体"/>
          <w:bCs/>
          <w:color w:val="auto"/>
          <w:sz w:val="32"/>
          <w:szCs w:val="24"/>
        </w:rPr>
        <w:t>”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运输模式</w:t>
      </w:r>
      <w:bookmarkEnd w:id="2"/>
      <w:bookmarkStart w:id="3" w:name="_Toc13227"/>
    </w:p>
    <w:p w14:paraId="6F6934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遵循客货协调、逐级剥离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过境交通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的思路，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探索缓解超大城市交通拥堵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的路径，提升城市交通运行效率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建设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杭州都市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圈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绕城高速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西复线，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串联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val="en-US" w:eastAsia="zh-CN"/>
        </w:rPr>
        <w:t>长深高速、杭瑞高速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等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多条高速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  <w:lang w:val="en-US" w:eastAsia="zh-CN"/>
        </w:rPr>
        <w:t>公路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  <w:lang w:val="en-US" w:eastAsia="zh-CN"/>
        </w:rPr>
        <w:t>通过将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过境车流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  <w:lang w:val="en-US" w:eastAsia="zh-CN"/>
        </w:rPr>
        <w:t>进行分流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绕城高速西线流量下降30%以上。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建成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</w:rPr>
        <w:t>运溪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高架、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</w:rPr>
        <w:t>留祥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路西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</w:rPr>
        <w:t>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项目，形成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两环八横五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</w:rPr>
        <w:t>纵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八连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的城市快速路布局，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大幅提升通行效率。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打造京杭运河二通道，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优化航道等级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  <w:lang w:eastAsia="zh-CN"/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  <w:lang w:val="en-US" w:eastAsia="zh-CN"/>
        </w:rPr>
        <w:t>降低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主城区段货船通行频次，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提升原有运河运力40%以上。</w:t>
      </w:r>
    </w:p>
    <w:p w14:paraId="01A0F5E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auto"/>
          <w:sz w:val="32"/>
          <w:szCs w:val="24"/>
          <w:highlight w:val="none"/>
        </w:rPr>
      </w:pPr>
      <w:r>
        <w:rPr>
          <w:rFonts w:hint="eastAsia" w:ascii="Times New Roman" w:hAnsi="Times New Roman" w:eastAsia="黑体" w:cs="Times New Roman"/>
          <w:bCs/>
          <w:color w:val="auto"/>
          <w:sz w:val="32"/>
          <w:szCs w:val="24"/>
          <w:highlight w:val="none"/>
          <w:lang w:val="en-US" w:eastAsia="zh-CN"/>
        </w:rPr>
        <w:t>四、打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highlight w:val="none"/>
          <w:lang w:val="en-US" w:eastAsia="zh-CN"/>
        </w:rPr>
        <w:t>造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highlight w:val="none"/>
        </w:rPr>
        <w:t>“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highlight w:val="none"/>
          <w:lang w:val="en-US" w:eastAsia="zh-CN"/>
        </w:rPr>
        <w:t>数字赋能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highlight w:val="none"/>
        </w:rPr>
        <w:t>”</w:t>
      </w:r>
      <w:r>
        <w:rPr>
          <w:rFonts w:hint="eastAsia" w:ascii="Times New Roman" w:hAnsi="Times New Roman" w:eastAsia="黑体" w:cs="Times New Roman"/>
          <w:bCs/>
          <w:color w:val="auto"/>
          <w:sz w:val="32"/>
          <w:szCs w:val="24"/>
          <w:highlight w:val="none"/>
          <w:lang w:val="en-US" w:eastAsia="zh-CN"/>
        </w:rPr>
        <w:t>管理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highlight w:val="none"/>
        </w:rPr>
        <w:t>模式</w:t>
      </w:r>
    </w:p>
    <w:p w14:paraId="435353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运用数字化手段赋能枢纽城市治理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，探索枢纽城市智慧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val="en-US" w:eastAsia="zh-CN"/>
        </w:rPr>
        <w:t>管理新模式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。建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成“杭州交通治理在线”平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台，归集11类约200亿条交通相关数据，构建14个专题交通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highlight w:val="none"/>
          <w:shd w:val="clear" w:color="auto" w:fill="FFFFFF"/>
          <w:lang w:val="en-US" w:eastAsia="zh-CN"/>
        </w:rPr>
        <w:t>仓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，128个图层交通图谱，形成14个数字化应用场景，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实现城市交通治理全要素的数字化、空间化、可视化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。杭州西站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建成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“镜像新城”大型枢纽数字孪生综合体，打造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“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vertAlign w:val="baseline"/>
          <w:lang w:val="en-US" w:eastAsia="zh-CN" w:bidi="ar"/>
        </w:rPr>
        <w:t>问路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FFFFFF"/>
          <w:vertAlign w:val="baseline"/>
          <w:lang w:val="en-US" w:eastAsia="zh-CN" w:bidi="ar"/>
        </w:rPr>
        <w:t>找</w:t>
      </w:r>
      <w:bookmarkStart w:id="4" w:name="hmcheck_8718de6aae6f4ddebc986a030f0b93f3"/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FFFFFF"/>
          <w:vertAlign w:val="baseline"/>
          <w:lang w:val="en-US" w:eastAsia="zh-CN" w:bidi="ar"/>
        </w:rPr>
        <w:t>西西</w:t>
      </w:r>
      <w:bookmarkEnd w:id="4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”智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能导引、“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vertAlign w:val="baseline"/>
          <w:lang w:val="en-US" w:eastAsia="zh-CN" w:bidi="ar"/>
        </w:rPr>
        <w:t>室内导航到车位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lang w:val="en-US" w:eastAsia="zh-CN" w:bidi="ar"/>
        </w:rPr>
        <w:t>”和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“高铁到发，一键可查”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val="en-US" w:eastAsia="zh-CN"/>
        </w:rPr>
        <w:t>等数字化应用服务场景，并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对网约车、出租车等候车区开展数字化流程再造，实现“一建查车”“智慧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  <w:lang w:val="en-US" w:eastAsia="zh-CN"/>
        </w:rPr>
        <w:t>找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车”“智能调度”等功能，出租车根据旅客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上客情况精准控制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  <w:lang w:val="en-US" w:eastAsia="zh-CN"/>
        </w:rPr>
        <w:t>蓄车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频次，网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  <w:lang w:val="en-US" w:eastAsia="zh-CN"/>
        </w:rPr>
        <w:t>约车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效率提升30%。</w:t>
      </w:r>
    </w:p>
    <w:bookmarkEnd w:id="3"/>
    <w:p w14:paraId="73B959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</w:pPr>
      <w:bookmarkStart w:id="5" w:name="_Toc5244"/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五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eastAsia="zh-CN"/>
        </w:rPr>
        <w:t>、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  <w:lang w:val="en-US" w:eastAsia="zh-CN"/>
        </w:rPr>
        <w:t>强</w:t>
      </w:r>
      <w:r>
        <w:rPr>
          <w:rFonts w:hint="eastAsia" w:ascii="黑体" w:hAnsi="黑体" w:eastAsia="黑体" w:cs="黑体"/>
          <w:bCs/>
          <w:color w:val="auto"/>
          <w:sz w:val="32"/>
          <w:szCs w:val="24"/>
          <w:lang w:val="en-US" w:eastAsia="zh-CN"/>
        </w:rPr>
        <w:t>化</w:t>
      </w:r>
      <w:r>
        <w:rPr>
          <w:rFonts w:hint="eastAsia" w:ascii="黑体" w:hAnsi="黑体" w:eastAsia="黑体" w:cs="黑体"/>
          <w:bCs/>
          <w:color w:val="auto"/>
          <w:sz w:val="32"/>
          <w:szCs w:val="24"/>
        </w:rPr>
        <w:t>“站城融合”</w:t>
      </w:r>
      <w:r>
        <w:rPr>
          <w:rFonts w:hint="default" w:ascii="Times New Roman" w:hAnsi="Times New Roman" w:eastAsia="黑体" w:cs="Times New Roman"/>
          <w:bCs/>
          <w:color w:val="auto"/>
          <w:sz w:val="32"/>
          <w:szCs w:val="24"/>
        </w:rPr>
        <w:t>开发模式</w:t>
      </w:r>
      <w:bookmarkEnd w:id="5"/>
    </w:p>
    <w:p w14:paraId="529672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6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深化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交通与城市空间协同发展，探索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枢纽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综合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开发新路径。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lang w:val="en-US" w:eastAsia="zh-CN"/>
        </w:rPr>
        <w:t>加强规划引领，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出台《杭州市轨道交通TOD综合利用专项规划》，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lang w:val="en-US" w:eastAsia="zh-CN" w:bidi="ar"/>
        </w:rPr>
        <w:t>明确轨道交通TOD发展原则和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lang w:val="en-US" w:eastAsia="zh-CN" w:bidi="ar"/>
        </w:rPr>
        <w:t>规划策略，构建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lang w:val="en-US" w:eastAsia="zh-CN" w:bidi="ar"/>
        </w:rPr>
        <w:t>枢纽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lang w:val="en-US" w:eastAsia="zh-CN" w:bidi="ar"/>
        </w:rPr>
        <w:t>分级开发体系，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bidi="ar"/>
        </w:rPr>
        <w:t>差异化引导轨道站点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val="en-US" w:eastAsia="zh-CN" w:bidi="ar"/>
        </w:rPr>
        <w:t>综合开发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6"/>
          <w:highlight w:val="none"/>
          <w:lang w:val="en-US" w:eastAsia="zh-CN" w:bidi="ar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bidi="ar"/>
        </w:rPr>
        <w:t>打造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 w:bidi="ar"/>
        </w:rPr>
        <w:t>杭州西站雨棚上盖开发项目等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一批上盖开发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七堡站杨柳郡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一批节点开发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项目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及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钱江新城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一批片区开发项目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以杭州西站建设为契机，推动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shd w:val="clear" w:color="auto" w:fill="FFFFFF"/>
        </w:rPr>
        <w:t>双铁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联动TOD集群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</w:rPr>
        <w:t>杭州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  <w:highlight w:val="none"/>
          <w:shd w:val="clear" w:color="auto" w:fill="FFFFFF"/>
        </w:rPr>
        <w:t>云城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highlight w:val="none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</w:rPr>
        <w:t>建设，</w:t>
      </w:r>
      <w:r>
        <w:rPr>
          <w:rFonts w:hint="eastAsia" w:ascii="仿宋_GB2312" w:hAnsi="仿宋_GB2312" w:eastAsia="仿宋_GB2312" w:cs="仿宋_GB2312"/>
          <w:color w:val="auto"/>
          <w:sz w:val="32"/>
          <w:szCs w:val="36"/>
          <w:highlight w:val="none"/>
          <w:shd w:val="clear" w:color="auto" w:fill="auto"/>
          <w:lang w:val="en-US" w:eastAsia="zh-CN"/>
        </w:rPr>
        <w:t>创建“在西站”公共服务品牌，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创新“站城融合”理念和公共服务模式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val="en-US" w:eastAsia="zh-CN"/>
        </w:rPr>
        <w:t>杭州西站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打造为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FFFFFF"/>
        </w:rPr>
        <w:t>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交通、工作、生活、创业于一体的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  <w:lang w:val="en-US" w:eastAsia="zh-CN"/>
        </w:rPr>
        <w:t>枢纽综合体，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打造全国高铁车站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站城融合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6"/>
          <w:lang w:eastAsia="zh-CN"/>
        </w:rPr>
        <w:t>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6"/>
        </w:rPr>
        <w:t>新标杆。</w:t>
      </w:r>
    </w:p>
    <w:p w14:paraId="41149D3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785E9F"/>
    <w:rsid w:val="45785E9F"/>
    <w:rsid w:val="69EB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9"/>
    <w:pPr>
      <w:keepNext/>
      <w:keepLines/>
      <w:widowControl w:val="0"/>
      <w:spacing w:before="260" w:after="260" w:line="416" w:lineRule="auto"/>
      <w:jc w:val="both"/>
      <w:outlineLvl w:val="1"/>
    </w:pPr>
    <w:rPr>
      <w:rFonts w:ascii="等线 Light" w:hAnsi="等线 Light" w:eastAsia="等线 Light" w:cs="Times New Roman"/>
      <w:b/>
      <w:bCs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2025-10-09T08:27:00Z</dcterms:created>
  <dc:creator> </dc:creator>
  <cp:lastModifiedBy> </cp:lastModifiedBy>
  <dcterms:modified xsi:type="dcterms:W3CDTF">2025-10-09T08:28:17Z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9F71D51D9CE84729B490ECF6FF0DC159_13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