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600" w:lineRule="exact"/>
        <w:outlineLvl w:val="0"/>
        <w:rPr>
          <w:rFonts w:hint="eastAsia" w:ascii="Times New Roman" w:hAnsi="Times New Roman" w:eastAsia="黑体"/>
          <w:sz w:val="32"/>
          <w:szCs w:val="32"/>
          <w:lang w:val="en" w:eastAsia="zh-CN"/>
        </w:rPr>
      </w:pPr>
      <w:r>
        <w:rPr>
          <w:rFonts w:hint="eastAsia" w:ascii="Times New Roman" w:hAnsi="Times New Roman" w:eastAsia="黑体"/>
          <w:sz w:val="32"/>
          <w:szCs w:val="32"/>
          <w:lang w:eastAsia="zh-CN"/>
        </w:rPr>
        <w:t>附件</w:t>
      </w:r>
    </w:p>
    <w:p>
      <w:pPr>
        <w:adjustRightInd w:val="0"/>
        <w:snapToGrid w:val="0"/>
        <w:spacing w:line="600" w:lineRule="exact"/>
        <w:ind w:firstLine="640" w:firstLineChars="200"/>
        <w:rPr>
          <w:rFonts w:ascii="Times New Roman" w:hAnsi="Times New Roman" w:eastAsia="黑体"/>
          <w:sz w:val="32"/>
          <w:szCs w:val="32"/>
        </w:rPr>
      </w:pPr>
    </w:p>
    <w:p>
      <w:pPr>
        <w:adjustRightInd w:val="0"/>
        <w:snapToGrid w:val="0"/>
        <w:spacing w:line="600" w:lineRule="exact"/>
        <w:jc w:val="center"/>
        <w:outlineLvl w:val="0"/>
        <w:rPr>
          <w:rFonts w:ascii="Times New Roman" w:hAnsi="Times New Roman" w:eastAsia="方正小标宋简体"/>
          <w:sz w:val="44"/>
          <w:szCs w:val="44"/>
        </w:rPr>
      </w:pPr>
      <w:r>
        <w:rPr>
          <w:rFonts w:ascii="Times New Roman" w:hAnsi="Times New Roman" w:eastAsia="方正小标宋简体"/>
          <w:sz w:val="44"/>
          <w:szCs w:val="44"/>
        </w:rPr>
        <w:t>“十四五”时期农村客运、城市交通发展</w:t>
      </w:r>
      <w:r>
        <w:rPr>
          <w:rFonts w:hint="eastAsia" w:ascii="Times New Roman" w:hAnsi="Times New Roman" w:eastAsia="方正小标宋简体"/>
          <w:sz w:val="44"/>
          <w:szCs w:val="44"/>
          <w:lang w:eastAsia="zh-CN"/>
        </w:rPr>
        <w:t>工作绩效</w:t>
      </w:r>
      <w:r>
        <w:rPr>
          <w:rFonts w:ascii="Times New Roman" w:hAnsi="Times New Roman" w:eastAsia="方正小标宋简体"/>
          <w:sz w:val="44"/>
          <w:szCs w:val="44"/>
        </w:rPr>
        <w:t>考核指标</w:t>
      </w:r>
    </w:p>
    <w:p>
      <w:pPr>
        <w:adjustRightInd w:val="0"/>
        <w:snapToGrid w:val="0"/>
        <w:spacing w:line="600" w:lineRule="exact"/>
        <w:ind w:firstLine="880" w:firstLineChars="200"/>
        <w:jc w:val="center"/>
        <w:rPr>
          <w:rFonts w:ascii="Times New Roman" w:hAnsi="Times New Roman" w:eastAsia="方正小标宋简体"/>
          <w:sz w:val="44"/>
          <w:szCs w:val="44"/>
        </w:rPr>
      </w:pPr>
    </w:p>
    <w:p>
      <w:pPr>
        <w:adjustRightInd w:val="0"/>
        <w:snapToGrid w:val="0"/>
        <w:spacing w:line="600" w:lineRule="exact"/>
        <w:ind w:firstLine="640" w:firstLineChars="200"/>
        <w:outlineLvl w:val="0"/>
        <w:rPr>
          <w:rFonts w:ascii="Times New Roman" w:hAnsi="Times New Roman" w:eastAsia="黑体"/>
          <w:sz w:val="32"/>
          <w:szCs w:val="32"/>
        </w:rPr>
      </w:pPr>
      <w:r>
        <w:rPr>
          <w:rFonts w:ascii="Times New Roman" w:hAnsi="Times New Roman" w:eastAsia="黑体"/>
          <w:sz w:val="32"/>
          <w:szCs w:val="32"/>
        </w:rPr>
        <w:t>一、农村客运（农村道路</w:t>
      </w:r>
      <w:r>
        <w:rPr>
          <w:rFonts w:hint="eastAsia" w:ascii="Times New Roman" w:hAnsi="Times New Roman" w:eastAsia="黑体"/>
          <w:sz w:val="32"/>
          <w:szCs w:val="32"/>
        </w:rPr>
        <w:t>客运</w:t>
      </w:r>
      <w:r>
        <w:rPr>
          <w:rFonts w:ascii="Times New Roman" w:hAnsi="Times New Roman" w:eastAsia="黑体"/>
          <w:sz w:val="32"/>
          <w:szCs w:val="32"/>
        </w:rPr>
        <w:t>部分）考核指标（共计100分</w:t>
      </w:r>
      <w:r>
        <w:rPr>
          <w:rFonts w:hint="eastAsia" w:ascii="Times New Roman" w:hAnsi="Times New Roman" w:eastAsia="黑体"/>
          <w:sz w:val="32"/>
          <w:szCs w:val="32"/>
        </w:rPr>
        <w:t>。超过</w:t>
      </w:r>
      <w:r>
        <w:rPr>
          <w:rFonts w:ascii="Times New Roman" w:hAnsi="Times New Roman" w:eastAsia="黑体"/>
          <w:sz w:val="32"/>
          <w:szCs w:val="32"/>
        </w:rPr>
        <w:t>100分的，计100分）。</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（一）运营效率（满分</w:t>
      </w:r>
      <w:r>
        <w:rPr>
          <w:rFonts w:ascii="Times New Roman" w:hAnsi="Times New Roman" w:eastAsia="楷体_GB2312"/>
          <w:b/>
          <w:bCs/>
          <w:sz w:val="32"/>
          <w:szCs w:val="30"/>
        </w:rPr>
        <w:t>15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农村道路客运线路日发班次情况（15分）</w:t>
      </w:r>
    </w:p>
    <w:p>
      <w:pPr>
        <w:ind w:firstLine="640" w:firstLineChars="200"/>
        <w:rPr>
          <w:rFonts w:ascii="Times New Roman" w:hAnsi="Times New Roman" w:eastAsia="仿宋_GB2312"/>
          <w:sz w:val="32"/>
          <w:szCs w:val="32"/>
        </w:rPr>
      </w:pPr>
      <w:r>
        <w:rPr>
          <w:rFonts w:ascii="Times New Roman" w:hAnsi="Times New Roman" w:eastAsia="仿宋_GB2312"/>
          <w:sz w:val="32"/>
          <w:szCs w:val="32"/>
        </w:rPr>
        <w:t>计算</w:t>
      </w:r>
      <w:r>
        <w:rPr>
          <w:rFonts w:hint="eastAsia" w:ascii="Times New Roman" w:hAnsi="Times New Roman" w:eastAsia="仿宋_GB2312"/>
          <w:sz w:val="32"/>
          <w:szCs w:val="32"/>
        </w:rPr>
        <w:t>方法：</w:t>
      </w:r>
      <w:r>
        <w:rPr>
          <w:rFonts w:ascii="Times New Roman" w:hAnsi="Times New Roman" w:eastAsia="仿宋_GB2312"/>
          <w:sz w:val="32"/>
          <w:szCs w:val="32"/>
        </w:rPr>
        <w:t>15×</w:t>
      </w:r>
      <w:r>
        <w:rPr>
          <w:rFonts w:ascii="Times New Roman" w:hAnsi="Times New Roman" w:eastAsia="仿宋_GB2312"/>
        </w:rPr>
        <w:drawing>
          <wp:inline distT="0" distB="0" distL="114300" distR="114300">
            <wp:extent cx="3554095" cy="643890"/>
            <wp:effectExtent l="0" t="0" r="7620" b="3175"/>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4"/>
                    <a:stretch>
                      <a:fillRect/>
                    </a:stretch>
                  </pic:blipFill>
                  <pic:spPr>
                    <a:xfrm>
                      <a:off x="0" y="0"/>
                      <a:ext cx="3554095" cy="643890"/>
                    </a:xfrm>
                    <a:prstGeom prst="rect">
                      <a:avLst/>
                    </a:prstGeom>
                    <a:noFill/>
                    <a:ln>
                      <a:noFill/>
                    </a:ln>
                  </pic:spPr>
                </pic:pic>
              </a:graphicData>
            </a:graphic>
          </wp:inline>
        </w:drawing>
      </w:r>
      <w:r>
        <w:rPr>
          <w:rFonts w:ascii="Times New Roman" w:hAnsi="Times New Roman" w:eastAsia="仿宋_GB2312"/>
        </w:rPr>
        <w:t>。</w:t>
      </w:r>
    </w:p>
    <w:p>
      <w:pPr>
        <w:spacing w:line="600" w:lineRule="exact"/>
        <w:ind w:firstLine="640"/>
        <w:rPr>
          <w:rFonts w:ascii="Times New Roman" w:hAnsi="Times New Roman" w:eastAsia="仿宋_GB2312"/>
          <w:sz w:val="32"/>
          <w:szCs w:val="32"/>
          <w:highlight w:val="yellow"/>
        </w:rPr>
      </w:pPr>
      <w:r>
        <w:rPr>
          <w:rFonts w:hint="eastAsia" w:ascii="Times New Roman" w:hAnsi="Times New Roman" w:eastAsia="仿宋_GB2312"/>
          <w:sz w:val="32"/>
          <w:szCs w:val="32"/>
        </w:rPr>
        <w:t>其中，</w:t>
      </w:r>
      <w:r>
        <w:rPr>
          <w:rFonts w:ascii="Times New Roman" w:hAnsi="Times New Roman" w:eastAsia="仿宋_GB2312"/>
          <w:sz w:val="32"/>
          <w:szCs w:val="32"/>
        </w:rPr>
        <w:t>年度农村</w:t>
      </w:r>
      <w:r>
        <w:rPr>
          <w:rFonts w:hint="eastAsia" w:ascii="Times New Roman" w:hAnsi="Times New Roman" w:eastAsia="仿宋_GB2312"/>
          <w:sz w:val="32"/>
          <w:szCs w:val="32"/>
        </w:rPr>
        <w:t>道路</w:t>
      </w:r>
      <w:r>
        <w:rPr>
          <w:rFonts w:ascii="Times New Roman" w:hAnsi="Times New Roman" w:eastAsia="仿宋_GB2312"/>
          <w:sz w:val="32"/>
          <w:szCs w:val="32"/>
        </w:rPr>
        <w:t>客运班线和</w:t>
      </w:r>
      <w:r>
        <w:rPr>
          <w:rFonts w:hint="eastAsia" w:ascii="Times New Roman" w:hAnsi="Times New Roman" w:eastAsia="仿宋_GB2312"/>
          <w:sz w:val="32"/>
          <w:szCs w:val="32"/>
        </w:rPr>
        <w:t>通达乡、村的城市公共汽电车线路平均</w:t>
      </w:r>
      <w:r>
        <w:rPr>
          <w:rFonts w:ascii="Times New Roman" w:hAnsi="Times New Roman" w:eastAsia="仿宋_GB2312"/>
          <w:sz w:val="32"/>
          <w:szCs w:val="32"/>
        </w:rPr>
        <w:t>日发班次系数=年度农村</w:t>
      </w:r>
      <w:r>
        <w:rPr>
          <w:rFonts w:hint="eastAsia" w:ascii="Times New Roman" w:hAnsi="Times New Roman" w:eastAsia="仿宋_GB2312"/>
          <w:sz w:val="32"/>
          <w:szCs w:val="32"/>
        </w:rPr>
        <w:t>道路</w:t>
      </w:r>
      <w:r>
        <w:rPr>
          <w:rFonts w:ascii="Times New Roman" w:hAnsi="Times New Roman" w:eastAsia="仿宋_GB2312"/>
          <w:sz w:val="32"/>
          <w:szCs w:val="32"/>
        </w:rPr>
        <w:t>客运班线和</w:t>
      </w:r>
      <w:r>
        <w:rPr>
          <w:rFonts w:hint="eastAsia" w:ascii="Times New Roman" w:hAnsi="Times New Roman" w:eastAsia="仿宋_GB2312"/>
          <w:sz w:val="32"/>
          <w:szCs w:val="32"/>
        </w:rPr>
        <w:t>通达乡、村的城市公共汽电车线路平均</w:t>
      </w:r>
      <w:r>
        <w:rPr>
          <w:rFonts w:ascii="Times New Roman" w:hAnsi="Times New Roman" w:eastAsia="仿宋_GB2312"/>
          <w:sz w:val="32"/>
          <w:szCs w:val="32"/>
        </w:rPr>
        <w:t>日发班次/2020年农村</w:t>
      </w:r>
      <w:r>
        <w:rPr>
          <w:rFonts w:hint="eastAsia" w:ascii="Times New Roman" w:hAnsi="Times New Roman" w:eastAsia="仿宋_GB2312"/>
          <w:sz w:val="32"/>
          <w:szCs w:val="32"/>
        </w:rPr>
        <w:t>道路</w:t>
      </w:r>
      <w:r>
        <w:rPr>
          <w:rFonts w:ascii="Times New Roman" w:hAnsi="Times New Roman" w:eastAsia="仿宋_GB2312"/>
          <w:sz w:val="32"/>
          <w:szCs w:val="32"/>
        </w:rPr>
        <w:t>客运班线和</w:t>
      </w:r>
      <w:r>
        <w:rPr>
          <w:rFonts w:hint="eastAsia" w:ascii="Times New Roman" w:hAnsi="Times New Roman" w:eastAsia="仿宋_GB2312"/>
          <w:sz w:val="32"/>
          <w:szCs w:val="32"/>
        </w:rPr>
        <w:t>通达乡、村的城市公共汽电车线路平均</w:t>
      </w:r>
      <w:r>
        <w:rPr>
          <w:rFonts w:ascii="Times New Roman" w:hAnsi="Times New Roman" w:eastAsia="仿宋_GB2312"/>
          <w:sz w:val="32"/>
          <w:szCs w:val="32"/>
        </w:rPr>
        <w:t>日发班次</w:t>
      </w:r>
      <w:r>
        <w:rPr>
          <w:rFonts w:hint="eastAsia" w:ascii="Times New Roman" w:hAnsi="Times New Roman" w:eastAsia="仿宋_GB2312"/>
          <w:sz w:val="32"/>
          <w:szCs w:val="32"/>
        </w:rPr>
        <w:t>。</w:t>
      </w:r>
      <w:r>
        <w:rPr>
          <w:rFonts w:ascii="Times New Roman" w:hAnsi="Times New Roman" w:eastAsia="仿宋_GB2312"/>
          <w:sz w:val="32"/>
          <w:szCs w:val="32"/>
        </w:rPr>
        <w:t>系数大于1的，按1计算。</w:t>
      </w:r>
    </w:p>
    <w:p>
      <w:pPr>
        <w:spacing w:line="600" w:lineRule="exact"/>
        <w:ind w:firstLine="640"/>
        <w:rPr>
          <w:rFonts w:ascii="Times New Roman" w:hAnsi="Times New Roman" w:eastAsia="楷体_GB2312"/>
          <w:b/>
          <w:bCs/>
          <w:sz w:val="32"/>
          <w:szCs w:val="30"/>
        </w:rPr>
      </w:pPr>
      <w:r>
        <w:rPr>
          <w:rFonts w:ascii="Times New Roman" w:hAnsi="Times New Roman" w:eastAsia="仿宋_GB2312"/>
          <w:sz w:val="32"/>
          <w:szCs w:val="32"/>
        </w:rPr>
        <w:t>数据来源：道路运输</w:t>
      </w:r>
      <w:r>
        <w:rPr>
          <w:rFonts w:hint="eastAsia" w:ascii="Times New Roman" w:hAnsi="Times New Roman" w:eastAsia="仿宋_GB2312"/>
          <w:sz w:val="32"/>
          <w:szCs w:val="32"/>
          <w:lang w:val="en-US" w:eastAsia="zh-CN"/>
        </w:rPr>
        <w:t>相关统计资料</w:t>
      </w:r>
      <w:r>
        <w:rPr>
          <w:rFonts w:ascii="Times New Roman" w:hAnsi="Times New Roman" w:eastAsia="仿宋_GB2312"/>
          <w:sz w:val="32"/>
          <w:szCs w:val="32"/>
        </w:rPr>
        <w:t>。</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（二）通达程度（满分</w:t>
      </w:r>
      <w:r>
        <w:rPr>
          <w:rFonts w:ascii="Times New Roman" w:hAnsi="Times New Roman" w:eastAsia="楷体_GB2312"/>
          <w:b/>
          <w:bCs/>
          <w:sz w:val="32"/>
          <w:szCs w:val="30"/>
        </w:rPr>
        <w:t>20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2</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建制村通客车率保持、提升情况（20分）</w:t>
      </w:r>
    </w:p>
    <w:p>
      <w:pPr>
        <w:ind w:firstLine="641"/>
        <w:rPr>
          <w:rFonts w:ascii="Times New Roman" w:hAnsi="Times New Roman" w:eastAsia="仿宋_GB2312"/>
          <w:sz w:val="32"/>
          <w:szCs w:val="32"/>
        </w:rPr>
      </w:pPr>
      <w:r>
        <w:rPr>
          <w:rFonts w:ascii="Times New Roman" w:hAnsi="Times New Roman" w:eastAsia="仿宋_GB2312"/>
          <w:sz w:val="32"/>
          <w:szCs w:val="32"/>
        </w:rPr>
        <w:t>计算</w:t>
      </w:r>
      <w:r>
        <w:rPr>
          <w:rFonts w:hint="eastAsia" w:ascii="Times New Roman" w:hAnsi="Times New Roman" w:eastAsia="仿宋_GB2312"/>
          <w:sz w:val="32"/>
          <w:szCs w:val="32"/>
        </w:rPr>
        <w:t>方法：</w:t>
      </w:r>
      <w:r>
        <w:rPr>
          <w:rFonts w:ascii="Times New Roman" w:hAnsi="Times New Roman" w:eastAsia="仿宋_GB2312"/>
          <w:sz w:val="32"/>
          <w:szCs w:val="32"/>
        </w:rPr>
        <w:t>20×</w:t>
      </w:r>
      <w:r>
        <w:rPr>
          <w:rFonts w:ascii="Times New Roman" w:hAnsi="Times New Roman" w:eastAsia="仿宋_GB2312"/>
        </w:rPr>
        <w:drawing>
          <wp:inline distT="0" distB="0" distL="114300" distR="114300">
            <wp:extent cx="2742565" cy="594360"/>
            <wp:effectExtent l="0" t="0" r="635" b="0"/>
            <wp:docPr id="2" name="图片 2"/>
            <wp:cNvGraphicFramePr/>
            <a:graphic xmlns:a="http://schemas.openxmlformats.org/drawingml/2006/main">
              <a:graphicData uri="http://schemas.openxmlformats.org/drawingml/2006/picture">
                <pic:pic xmlns:pic="http://schemas.openxmlformats.org/drawingml/2006/picture">
                  <pic:nvPicPr>
                    <pic:cNvPr id="2" name="图片 2"/>
                    <pic:cNvPicPr/>
                  </pic:nvPicPr>
                  <pic:blipFill>
                    <a:blip r:embed="rId5"/>
                    <a:stretch>
                      <a:fillRect/>
                    </a:stretch>
                  </pic:blipFill>
                  <pic:spPr>
                    <a:xfrm>
                      <a:off x="0" y="0"/>
                      <a:ext cx="2742565" cy="594360"/>
                    </a:xfrm>
                    <a:prstGeom prst="rect">
                      <a:avLst/>
                    </a:prstGeom>
                    <a:noFill/>
                    <a:ln>
                      <a:noFill/>
                    </a:ln>
                  </pic:spPr>
                </pic:pic>
              </a:graphicData>
            </a:graphic>
          </wp:inline>
        </w:drawing>
      </w:r>
      <w:r>
        <w:rPr>
          <w:rFonts w:ascii="Times New Roman" w:hAnsi="Times New Roman" w:eastAsia="仿宋_GB2312"/>
        </w:rPr>
        <w:t>。</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其中，</w:t>
      </w:r>
      <w:r>
        <w:rPr>
          <w:rFonts w:ascii="Times New Roman" w:hAnsi="Times New Roman" w:eastAsia="仿宋_GB2312"/>
          <w:sz w:val="32"/>
          <w:szCs w:val="32"/>
        </w:rPr>
        <w:t>年度建制村通客车系数=年度建制村通客车率/2020年建制村通客车率，系数大于1的，按1计算。</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通客车模式包括农村道路客运班线（含定线班车、预约响应、区域经营），以及</w:t>
      </w:r>
      <w:r>
        <w:rPr>
          <w:rFonts w:hint="eastAsia" w:ascii="Times New Roman" w:hAnsi="Times New Roman" w:eastAsia="仿宋_GB2312"/>
          <w:kern w:val="0"/>
          <w:sz w:val="32"/>
          <w:szCs w:val="32"/>
        </w:rPr>
        <w:t>通达乡、村的城市公共汽电车线路</w:t>
      </w:r>
      <w:r>
        <w:rPr>
          <w:rFonts w:hint="eastAsia" w:ascii="Times New Roman" w:hAnsi="Times New Roman" w:eastAsia="仿宋_GB2312"/>
          <w:sz w:val="32"/>
          <w:szCs w:val="32"/>
        </w:rPr>
        <w:t>。</w:t>
      </w:r>
      <w:r>
        <w:rPr>
          <w:rFonts w:ascii="Times New Roman" w:hAnsi="Times New Roman" w:eastAsia="仿宋_GB2312"/>
          <w:sz w:val="32"/>
          <w:szCs w:val="32"/>
        </w:rPr>
        <w:t>“十四</w:t>
      </w:r>
      <w:r>
        <w:rPr>
          <w:rFonts w:ascii="Times New Roman" w:hAnsi="Times New Roman" w:eastAsia="仿宋_GB2312"/>
          <w:color w:val="000000"/>
          <w:sz w:val="32"/>
          <w:szCs w:val="32"/>
        </w:rPr>
        <w:t>五”期，在国务院</w:t>
      </w:r>
      <w:r>
        <w:rPr>
          <w:rFonts w:hint="eastAsia" w:ascii="Times New Roman" w:hAnsi="Times New Roman" w:eastAsia="仿宋_GB2312"/>
          <w:color w:val="000000"/>
          <w:sz w:val="32"/>
          <w:szCs w:val="32"/>
          <w:lang w:eastAsia="zh-CN"/>
        </w:rPr>
        <w:t>或</w:t>
      </w:r>
      <w:r>
        <w:rPr>
          <w:rFonts w:ascii="Times New Roman" w:hAnsi="Times New Roman" w:eastAsia="仿宋_GB2312"/>
          <w:color w:val="000000"/>
          <w:sz w:val="32"/>
          <w:szCs w:val="32"/>
        </w:rPr>
        <w:t>交通运输部等</w:t>
      </w:r>
      <w:r>
        <w:rPr>
          <w:rFonts w:hint="eastAsia" w:ascii="Times New Roman" w:hAnsi="Times New Roman" w:eastAsia="仿宋_GB2312"/>
          <w:color w:val="000000"/>
          <w:sz w:val="32"/>
          <w:szCs w:val="32"/>
          <w:lang w:eastAsia="zh-CN"/>
        </w:rPr>
        <w:t>部门</w:t>
      </w:r>
      <w:r>
        <w:rPr>
          <w:rFonts w:ascii="Times New Roman" w:hAnsi="Times New Roman" w:eastAsia="仿宋_GB2312"/>
          <w:color w:val="000000"/>
          <w:sz w:val="32"/>
          <w:szCs w:val="32"/>
        </w:rPr>
        <w:t>监督检查中，每核实出一个</w:t>
      </w:r>
      <w:r>
        <w:rPr>
          <w:rFonts w:hint="eastAsia" w:ascii="Times New Roman" w:hAnsi="Times New Roman" w:eastAsia="仿宋_GB2312"/>
          <w:color w:val="000000"/>
          <w:sz w:val="32"/>
          <w:szCs w:val="32"/>
          <w:lang w:eastAsia="zh-CN"/>
        </w:rPr>
        <w:t>具备条件的乡镇和建制村农村客运</w:t>
      </w:r>
      <w:r>
        <w:rPr>
          <w:rFonts w:ascii="Times New Roman" w:hAnsi="Times New Roman" w:eastAsia="仿宋_GB2312"/>
          <w:color w:val="000000"/>
          <w:sz w:val="32"/>
          <w:szCs w:val="32"/>
        </w:rPr>
        <w:t>“通返不</w:t>
      </w:r>
      <w:r>
        <w:rPr>
          <w:rFonts w:ascii="Times New Roman" w:hAnsi="Times New Roman" w:eastAsia="仿宋_GB2312"/>
          <w:sz w:val="32"/>
          <w:szCs w:val="32"/>
        </w:rPr>
        <w:t>通”情况的建制村扣2分</w:t>
      </w:r>
      <w:r>
        <w:rPr>
          <w:rFonts w:hint="eastAsia" w:ascii="Times New Roman" w:hAnsi="Times New Roman" w:eastAsia="仿宋_GB2312"/>
          <w:sz w:val="32"/>
          <w:szCs w:val="32"/>
        </w:rPr>
        <w:t>，</w:t>
      </w:r>
      <w:r>
        <w:rPr>
          <w:rFonts w:ascii="Times New Roman" w:hAnsi="Times New Roman" w:eastAsia="仿宋_GB2312"/>
          <w:sz w:val="32"/>
          <w:szCs w:val="32"/>
        </w:rPr>
        <w:t>扣完为止。</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数据来源：道路运输</w:t>
      </w:r>
      <w:r>
        <w:rPr>
          <w:rFonts w:hint="eastAsia" w:ascii="Times New Roman" w:hAnsi="Times New Roman" w:eastAsia="仿宋_GB2312"/>
          <w:sz w:val="32"/>
          <w:szCs w:val="32"/>
          <w:lang w:eastAsia="zh-CN"/>
        </w:rPr>
        <w:t>相关</w:t>
      </w:r>
      <w:r>
        <w:rPr>
          <w:rFonts w:ascii="Times New Roman" w:hAnsi="Times New Roman" w:eastAsia="仿宋_GB2312"/>
          <w:sz w:val="32"/>
          <w:szCs w:val="32"/>
        </w:rPr>
        <w:t>统计</w:t>
      </w:r>
      <w:r>
        <w:rPr>
          <w:rFonts w:hint="eastAsia" w:ascii="Times New Roman" w:hAnsi="Times New Roman" w:eastAsia="仿宋_GB2312"/>
          <w:sz w:val="32"/>
          <w:szCs w:val="32"/>
          <w:lang w:eastAsia="zh-CN"/>
        </w:rPr>
        <w:t>资料，全国乡镇和建制村通客车信息</w:t>
      </w:r>
      <w:r>
        <w:rPr>
          <w:rFonts w:hint="eastAsia" w:ascii="Times New Roman" w:hAnsi="Times New Roman" w:eastAsia="仿宋_GB2312"/>
          <w:color w:val="000000"/>
          <w:sz w:val="32"/>
          <w:szCs w:val="32"/>
          <w:lang w:eastAsia="zh-CN"/>
        </w:rPr>
        <w:t>台账</w:t>
      </w:r>
      <w:r>
        <w:rPr>
          <w:rFonts w:ascii="Times New Roman" w:hAnsi="Times New Roman" w:eastAsia="仿宋_GB2312"/>
          <w:color w:val="000000"/>
          <w:sz w:val="32"/>
          <w:szCs w:val="32"/>
        </w:rPr>
        <w:t>，国务院</w:t>
      </w:r>
      <w:r>
        <w:rPr>
          <w:rFonts w:hint="eastAsia" w:ascii="Times New Roman" w:hAnsi="Times New Roman" w:eastAsia="仿宋_GB2312"/>
          <w:color w:val="000000"/>
          <w:sz w:val="32"/>
          <w:szCs w:val="32"/>
          <w:lang w:eastAsia="zh-CN"/>
        </w:rPr>
        <w:t>或</w:t>
      </w:r>
      <w:r>
        <w:rPr>
          <w:rFonts w:ascii="Times New Roman" w:hAnsi="Times New Roman" w:eastAsia="仿宋_GB2312"/>
          <w:color w:val="000000"/>
          <w:sz w:val="32"/>
          <w:szCs w:val="32"/>
        </w:rPr>
        <w:t>交通运输部等</w:t>
      </w:r>
      <w:r>
        <w:rPr>
          <w:rFonts w:hint="eastAsia" w:ascii="Times New Roman" w:hAnsi="Times New Roman" w:eastAsia="仿宋_GB2312"/>
          <w:color w:val="000000"/>
          <w:sz w:val="32"/>
          <w:szCs w:val="32"/>
          <w:lang w:eastAsia="zh-CN"/>
        </w:rPr>
        <w:t>部</w:t>
      </w:r>
      <w:r>
        <w:rPr>
          <w:rFonts w:hint="eastAsia" w:ascii="Times New Roman" w:hAnsi="Times New Roman" w:eastAsia="仿宋_GB2312"/>
          <w:sz w:val="32"/>
          <w:szCs w:val="32"/>
          <w:lang w:eastAsia="zh-CN"/>
        </w:rPr>
        <w:t>门</w:t>
      </w:r>
      <w:r>
        <w:rPr>
          <w:rFonts w:ascii="Times New Roman" w:hAnsi="Times New Roman" w:eastAsia="仿宋_GB2312"/>
          <w:sz w:val="32"/>
          <w:szCs w:val="32"/>
        </w:rPr>
        <w:t>督查报告。</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（三）服务质量（满分</w:t>
      </w:r>
      <w:r>
        <w:rPr>
          <w:rFonts w:ascii="Times New Roman" w:hAnsi="Times New Roman" w:eastAsia="楷体_GB2312"/>
          <w:b/>
          <w:bCs/>
          <w:sz w:val="32"/>
          <w:szCs w:val="30"/>
        </w:rPr>
        <w:t>20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3</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农村地区公交服务占比（5分）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农村地区公交服务占比指提供公交服务的建制村占已通客车的建制村的比例。</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2020年农村地区</w:t>
      </w:r>
      <w:r>
        <w:rPr>
          <w:rFonts w:ascii="Times New Roman" w:hAnsi="Times New Roman" w:eastAsia="仿宋_GB2312"/>
          <w:sz w:val="32"/>
          <w:szCs w:val="32"/>
          <w:lang w:val="en"/>
        </w:rPr>
        <w:t>公交服务占比</w:t>
      </w:r>
      <w:r>
        <w:rPr>
          <w:rFonts w:ascii="Times New Roman" w:hAnsi="Times New Roman" w:eastAsia="仿宋_GB2312"/>
          <w:sz w:val="32"/>
          <w:szCs w:val="32"/>
        </w:rPr>
        <w:t>低于60%的省份，</w:t>
      </w:r>
      <w:r>
        <w:rPr>
          <w:rFonts w:ascii="Times New Roman" w:hAnsi="Times New Roman" w:eastAsia="仿宋_GB2312"/>
          <w:sz w:val="32"/>
          <w:szCs w:val="32"/>
          <w:lang w:val="en"/>
        </w:rPr>
        <w:t>“十四五”期占比提升不低于</w:t>
      </w:r>
      <w:r>
        <w:rPr>
          <w:rFonts w:hint="default" w:ascii="Times New Roman" w:hAnsi="Times New Roman" w:eastAsia="仿宋_GB2312"/>
          <w:sz w:val="32"/>
          <w:szCs w:val="32"/>
          <w:lang w:val="en-US"/>
        </w:rPr>
        <w:t>5</w:t>
      </w:r>
      <w:r>
        <w:rPr>
          <w:rFonts w:ascii="Times New Roman" w:hAnsi="Times New Roman" w:eastAsia="仿宋_GB2312"/>
          <w:sz w:val="32"/>
          <w:szCs w:val="32"/>
        </w:rPr>
        <w:t>个百分点的；或2020年农村地区</w:t>
      </w:r>
      <w:r>
        <w:rPr>
          <w:rFonts w:ascii="Times New Roman" w:hAnsi="Times New Roman" w:eastAsia="仿宋_GB2312"/>
          <w:sz w:val="32"/>
          <w:szCs w:val="32"/>
          <w:lang w:val="en"/>
        </w:rPr>
        <w:t>公交服务占比</w:t>
      </w:r>
      <w:r>
        <w:rPr>
          <w:rFonts w:ascii="Times New Roman" w:hAnsi="Times New Roman" w:eastAsia="仿宋_GB2312"/>
          <w:sz w:val="32"/>
          <w:szCs w:val="32"/>
        </w:rPr>
        <w:t>介于60%与80%之间的省份，</w:t>
      </w:r>
      <w:r>
        <w:rPr>
          <w:rFonts w:ascii="Times New Roman" w:hAnsi="Times New Roman" w:eastAsia="仿宋_GB2312"/>
          <w:sz w:val="32"/>
          <w:szCs w:val="32"/>
          <w:lang w:val="en"/>
        </w:rPr>
        <w:t>“十四五”期占比累计提升不低于</w:t>
      </w:r>
      <w:r>
        <w:rPr>
          <w:rFonts w:hint="default" w:ascii="Times New Roman" w:hAnsi="Times New Roman" w:eastAsia="仿宋_GB2312"/>
          <w:sz w:val="32"/>
          <w:szCs w:val="32"/>
          <w:lang w:val="en-US"/>
        </w:rPr>
        <w:t>3</w:t>
      </w:r>
      <w:r>
        <w:rPr>
          <w:rFonts w:ascii="Times New Roman" w:hAnsi="Times New Roman" w:eastAsia="仿宋_GB2312"/>
          <w:sz w:val="32"/>
          <w:szCs w:val="32"/>
        </w:rPr>
        <w:t>个百分点的；或2020年农村地区</w:t>
      </w:r>
      <w:r>
        <w:rPr>
          <w:rFonts w:ascii="Times New Roman" w:hAnsi="Times New Roman" w:eastAsia="仿宋_GB2312"/>
          <w:sz w:val="32"/>
          <w:szCs w:val="32"/>
          <w:lang w:val="en"/>
        </w:rPr>
        <w:t>公交服务占比</w:t>
      </w:r>
      <w:r>
        <w:rPr>
          <w:rFonts w:ascii="Times New Roman" w:hAnsi="Times New Roman" w:eastAsia="仿宋_GB2312"/>
          <w:sz w:val="32"/>
          <w:szCs w:val="32"/>
        </w:rPr>
        <w:t>大于80%的省份，</w:t>
      </w:r>
      <w:r>
        <w:rPr>
          <w:rFonts w:ascii="Times New Roman" w:hAnsi="Times New Roman" w:eastAsia="仿宋_GB2312"/>
          <w:sz w:val="32"/>
          <w:szCs w:val="32"/>
          <w:lang w:val="en"/>
        </w:rPr>
        <w:t>“十四五”期占比不降低的，得</w:t>
      </w:r>
      <w:r>
        <w:rPr>
          <w:rFonts w:ascii="Times New Roman" w:hAnsi="Times New Roman" w:eastAsia="仿宋_GB2312"/>
          <w:sz w:val="32"/>
          <w:szCs w:val="32"/>
        </w:rPr>
        <w:t>5分。“十四五”期农村地区</w:t>
      </w:r>
      <w:r>
        <w:rPr>
          <w:rFonts w:ascii="Times New Roman" w:hAnsi="Times New Roman" w:eastAsia="仿宋_GB2312"/>
          <w:sz w:val="32"/>
          <w:szCs w:val="32"/>
          <w:lang w:val="en"/>
        </w:rPr>
        <w:t>公交服务占比</w:t>
      </w:r>
      <w:r>
        <w:rPr>
          <w:rFonts w:ascii="Times New Roman" w:hAnsi="Times New Roman" w:eastAsia="仿宋_GB2312"/>
          <w:sz w:val="32"/>
          <w:szCs w:val="32"/>
        </w:rPr>
        <w:t>有所提升但未到达上述目标的，按内插法计算得分</w:t>
      </w:r>
      <w:r>
        <w:rPr>
          <w:rFonts w:hint="eastAsia" w:ascii="Times New Roman" w:hAnsi="Times New Roman" w:eastAsia="仿宋_GB2312"/>
          <w:sz w:val="32"/>
          <w:szCs w:val="32"/>
        </w:rPr>
        <w:t>。</w:t>
      </w:r>
      <w:r>
        <w:rPr>
          <w:rFonts w:ascii="Times New Roman" w:hAnsi="Times New Roman" w:eastAsia="仿宋_GB2312"/>
          <w:sz w:val="32"/>
          <w:szCs w:val="32"/>
        </w:rPr>
        <w:t>“十四五”期农村地区</w:t>
      </w:r>
      <w:r>
        <w:rPr>
          <w:rFonts w:ascii="Times New Roman" w:hAnsi="Times New Roman" w:eastAsia="仿宋_GB2312"/>
          <w:sz w:val="32"/>
          <w:szCs w:val="32"/>
          <w:lang w:val="en"/>
        </w:rPr>
        <w:t>公交服务占比</w:t>
      </w:r>
      <w:r>
        <w:rPr>
          <w:rFonts w:ascii="Times New Roman" w:hAnsi="Times New Roman" w:eastAsia="仿宋_GB2312"/>
          <w:sz w:val="32"/>
          <w:szCs w:val="32"/>
        </w:rPr>
        <w:t>下降的，不得分。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数据来源：道路运输</w:t>
      </w:r>
      <w:r>
        <w:rPr>
          <w:rFonts w:hint="eastAsia" w:ascii="Times New Roman" w:hAnsi="Times New Roman" w:eastAsia="仿宋_GB2312"/>
          <w:sz w:val="32"/>
          <w:szCs w:val="32"/>
          <w:lang w:eastAsia="zh-CN"/>
        </w:rPr>
        <w:t>相关</w:t>
      </w:r>
      <w:r>
        <w:rPr>
          <w:rFonts w:ascii="Times New Roman" w:hAnsi="Times New Roman" w:eastAsia="仿宋_GB2312"/>
          <w:sz w:val="32"/>
          <w:szCs w:val="32"/>
        </w:rPr>
        <w:t>统计</w:t>
      </w:r>
      <w:r>
        <w:rPr>
          <w:rFonts w:hint="eastAsia" w:ascii="Times New Roman" w:hAnsi="Times New Roman" w:eastAsia="仿宋_GB2312"/>
          <w:sz w:val="32"/>
          <w:szCs w:val="32"/>
          <w:lang w:eastAsia="zh-CN"/>
        </w:rPr>
        <w:t>资料</w:t>
      </w:r>
      <w:r>
        <w:rPr>
          <w:rFonts w:ascii="Times New Roman" w:hAnsi="Times New Roman" w:eastAsia="仿宋_GB2312"/>
          <w:sz w:val="32"/>
          <w:szCs w:val="32"/>
        </w:rPr>
        <w:t>。</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4</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服务质量考核情况（</w:t>
      </w:r>
      <w:r>
        <w:rPr>
          <w:rFonts w:hint="default" w:ascii="Times New Roman" w:hAnsi="Times New Roman" w:eastAsia="楷体_GB2312"/>
          <w:sz w:val="32"/>
          <w:szCs w:val="32"/>
          <w:lang w:val="en-US"/>
        </w:rPr>
        <w:t>10</w:t>
      </w:r>
      <w:r>
        <w:rPr>
          <w:rFonts w:ascii="Times New Roman" w:hAnsi="Times New Roman" w:eastAsia="楷体_GB2312"/>
          <w:sz w:val="32"/>
          <w:szCs w:val="32"/>
          <w:lang w:val="en"/>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省级交通运输</w:t>
      </w:r>
      <w:r>
        <w:rPr>
          <w:rFonts w:hint="eastAsia" w:ascii="Times New Roman" w:hAnsi="Times New Roman" w:eastAsia="仿宋_GB2312"/>
          <w:sz w:val="32"/>
          <w:szCs w:val="32"/>
        </w:rPr>
        <w:t>主管</w:t>
      </w:r>
      <w:r>
        <w:rPr>
          <w:rFonts w:ascii="Times New Roman" w:hAnsi="Times New Roman" w:eastAsia="仿宋_GB2312"/>
          <w:sz w:val="32"/>
          <w:szCs w:val="32"/>
        </w:rPr>
        <w:t>部门依托农村道路客运车辆动态监控</w:t>
      </w:r>
      <w:r>
        <w:rPr>
          <w:rFonts w:hint="eastAsia" w:ascii="Times New Roman" w:hAnsi="Times New Roman" w:eastAsia="仿宋_GB2312"/>
          <w:sz w:val="32"/>
          <w:szCs w:val="32"/>
        </w:rPr>
        <w:t>等信息化手段，开展农村道路客运</w:t>
      </w:r>
      <w:r>
        <w:rPr>
          <w:rFonts w:ascii="Times New Roman" w:hAnsi="Times New Roman" w:eastAsia="仿宋_GB2312"/>
          <w:sz w:val="32"/>
          <w:szCs w:val="32"/>
        </w:rPr>
        <w:t>服务质量考核，</w:t>
      </w:r>
      <w:r>
        <w:rPr>
          <w:rFonts w:hint="eastAsia" w:ascii="Times New Roman" w:hAnsi="Times New Roman" w:eastAsia="仿宋_GB2312"/>
          <w:sz w:val="32"/>
          <w:szCs w:val="32"/>
        </w:rPr>
        <w:t>按覆盖车辆比例通过内插法得分。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数据来源：各省份农村道路客运</w:t>
      </w:r>
      <w:r>
        <w:rPr>
          <w:rFonts w:hint="eastAsia" w:ascii="Times New Roman" w:hAnsi="Times New Roman" w:eastAsia="仿宋_GB2312"/>
          <w:sz w:val="32"/>
          <w:szCs w:val="32"/>
        </w:rPr>
        <w:t>服务质量考核</w:t>
      </w:r>
      <w:r>
        <w:rPr>
          <w:rFonts w:ascii="Times New Roman" w:hAnsi="Times New Roman" w:eastAsia="仿宋_GB2312"/>
          <w:sz w:val="32"/>
          <w:szCs w:val="32"/>
        </w:rPr>
        <w:t>政策文件、</w:t>
      </w:r>
      <w:r>
        <w:rPr>
          <w:rFonts w:hint="eastAsia" w:ascii="Times New Roman" w:hAnsi="Times New Roman" w:eastAsia="仿宋_GB2312"/>
          <w:sz w:val="32"/>
          <w:szCs w:val="32"/>
        </w:rPr>
        <w:t>服务</w:t>
      </w:r>
      <w:r>
        <w:rPr>
          <w:rFonts w:ascii="Times New Roman" w:hAnsi="Times New Roman" w:eastAsia="仿宋_GB2312"/>
          <w:sz w:val="32"/>
          <w:szCs w:val="32"/>
        </w:rPr>
        <w:t>质量考核结果</w:t>
      </w:r>
      <w:r>
        <w:rPr>
          <w:rFonts w:hint="eastAsia" w:ascii="Times New Roman" w:hAnsi="Times New Roman" w:eastAsia="仿宋_GB2312"/>
          <w:sz w:val="32"/>
          <w:szCs w:val="32"/>
        </w:rPr>
        <w:t>等相关</w:t>
      </w:r>
      <w:r>
        <w:rPr>
          <w:rFonts w:ascii="Times New Roman" w:hAnsi="Times New Roman" w:eastAsia="仿宋_GB2312"/>
          <w:sz w:val="32"/>
          <w:szCs w:val="32"/>
        </w:rPr>
        <w:t>佐证材料。</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5</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服务质量考核</w:t>
      </w:r>
      <w:r>
        <w:rPr>
          <w:rFonts w:hint="default" w:ascii="Times New Roman" w:hAnsi="Times New Roman" w:eastAsia="楷体_GB2312"/>
          <w:sz w:val="32"/>
          <w:szCs w:val="32"/>
          <w:lang w:val="en"/>
        </w:rPr>
        <w:t>与农村道路客运补贴挂钩</w:t>
      </w:r>
      <w:r>
        <w:rPr>
          <w:rFonts w:ascii="Times New Roman" w:hAnsi="Times New Roman" w:eastAsia="楷体_GB2312"/>
          <w:sz w:val="32"/>
          <w:szCs w:val="32"/>
          <w:lang w:val="en"/>
        </w:rPr>
        <w:t>情况（</w:t>
      </w:r>
      <w:r>
        <w:rPr>
          <w:rFonts w:hint="default" w:ascii="Times New Roman" w:hAnsi="Times New Roman" w:eastAsia="楷体_GB2312"/>
          <w:sz w:val="32"/>
          <w:szCs w:val="32"/>
          <w:lang w:val="en"/>
        </w:rPr>
        <w:t>5</w:t>
      </w:r>
      <w:r>
        <w:rPr>
          <w:rFonts w:ascii="Times New Roman" w:hAnsi="Times New Roman" w:eastAsia="楷体_GB2312"/>
          <w:sz w:val="32"/>
          <w:szCs w:val="32"/>
          <w:lang w:val="en"/>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省级</w:t>
      </w:r>
      <w:r>
        <w:rPr>
          <w:rFonts w:hint="eastAsia" w:ascii="Times New Roman" w:hAnsi="Times New Roman" w:eastAsia="仿宋_GB2312"/>
          <w:sz w:val="32"/>
          <w:szCs w:val="32"/>
        </w:rPr>
        <w:t>财政、</w:t>
      </w:r>
      <w:r>
        <w:rPr>
          <w:rFonts w:ascii="Times New Roman" w:hAnsi="Times New Roman" w:eastAsia="仿宋_GB2312"/>
          <w:sz w:val="32"/>
          <w:szCs w:val="32"/>
        </w:rPr>
        <w:t>交通运输</w:t>
      </w:r>
      <w:r>
        <w:rPr>
          <w:rFonts w:hint="eastAsia" w:ascii="Times New Roman" w:hAnsi="Times New Roman" w:eastAsia="仿宋_GB2312"/>
          <w:sz w:val="32"/>
          <w:szCs w:val="32"/>
        </w:rPr>
        <w:t>主管</w:t>
      </w:r>
      <w:r>
        <w:rPr>
          <w:rFonts w:ascii="Times New Roman" w:hAnsi="Times New Roman" w:eastAsia="仿宋_GB2312"/>
          <w:sz w:val="32"/>
          <w:szCs w:val="32"/>
        </w:rPr>
        <w:t>部门</w:t>
      </w:r>
      <w:r>
        <w:rPr>
          <w:rFonts w:hint="eastAsia" w:ascii="Times New Roman" w:hAnsi="Times New Roman" w:eastAsia="仿宋_GB2312"/>
          <w:sz w:val="32"/>
          <w:szCs w:val="32"/>
        </w:rPr>
        <w:t>实行农村道路客运服务质量考核与农村道路客运补贴挂钩的，得5分；否则，不得分。</w:t>
      </w:r>
    </w:p>
    <w:p>
      <w:pPr>
        <w:adjustRightInd w:val="0"/>
        <w:snapToGrid w:val="0"/>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数据来源：各省份政策文件</w:t>
      </w:r>
      <w:r>
        <w:rPr>
          <w:rFonts w:hint="eastAsia" w:ascii="Times New Roman" w:hAnsi="Times New Roman" w:eastAsia="仿宋_GB2312"/>
          <w:sz w:val="32"/>
          <w:szCs w:val="32"/>
        </w:rPr>
        <w:t>及挂钩情况等落实情况相关</w:t>
      </w:r>
      <w:r>
        <w:rPr>
          <w:rFonts w:ascii="Times New Roman" w:hAnsi="Times New Roman" w:eastAsia="仿宋_GB2312"/>
          <w:sz w:val="32"/>
          <w:szCs w:val="32"/>
        </w:rPr>
        <w:t>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（四）安全运营（满分</w:t>
      </w:r>
      <w:r>
        <w:rPr>
          <w:rFonts w:ascii="Times New Roman" w:hAnsi="Times New Roman" w:eastAsia="楷体_GB2312"/>
          <w:b/>
          <w:bCs/>
          <w:sz w:val="32"/>
          <w:szCs w:val="30"/>
        </w:rPr>
        <w:t>25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6</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农村道路客运安全稳定情况（20分）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“十四五”期，每发生一起</w:t>
      </w:r>
      <w:r>
        <w:rPr>
          <w:rFonts w:hint="eastAsia" w:ascii="Times New Roman" w:hAnsi="Times New Roman" w:eastAsia="仿宋_GB2312"/>
          <w:sz w:val="32"/>
          <w:szCs w:val="32"/>
          <w:lang w:eastAsia="zh-CN"/>
        </w:rPr>
        <w:t>因农村客运违规运行导致的</w:t>
      </w:r>
      <w:r>
        <w:rPr>
          <w:rFonts w:ascii="Times New Roman" w:hAnsi="Times New Roman" w:eastAsia="仿宋_GB2312"/>
          <w:sz w:val="32"/>
          <w:szCs w:val="32"/>
        </w:rPr>
        <w:t>重大及以上生产安全事故，扣6分；每发生一起</w:t>
      </w:r>
      <w:r>
        <w:rPr>
          <w:rFonts w:hint="eastAsia" w:ascii="Times New Roman" w:hAnsi="Times New Roman" w:eastAsia="仿宋_GB2312"/>
          <w:sz w:val="32"/>
          <w:szCs w:val="32"/>
          <w:lang w:eastAsia="zh-CN"/>
        </w:rPr>
        <w:t>因农村客运违规运行导致的</w:t>
      </w:r>
      <w:r>
        <w:rPr>
          <w:rFonts w:ascii="Times New Roman" w:hAnsi="Times New Roman" w:eastAsia="仿宋_GB2312"/>
          <w:sz w:val="32"/>
          <w:szCs w:val="32"/>
        </w:rPr>
        <w:t>较大生产安全事故</w:t>
      </w:r>
      <w:r>
        <w:rPr>
          <w:rFonts w:hint="eastAsia" w:ascii="Times New Roman" w:hAnsi="Times New Roman" w:eastAsia="仿宋_GB2312"/>
          <w:sz w:val="32"/>
          <w:szCs w:val="32"/>
        </w:rPr>
        <w:t>，</w:t>
      </w:r>
      <w:r>
        <w:rPr>
          <w:rFonts w:ascii="Times New Roman" w:hAnsi="Times New Roman" w:eastAsia="仿宋_GB2312"/>
          <w:sz w:val="32"/>
          <w:szCs w:val="32"/>
        </w:rPr>
        <w:t>扣2分；每发生一起农村道路客运领域群体性不稳定事件的，扣2分；扣完为止。</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数据来源：道路运输行业行车事故统计报表及信访、舆情监测情况。</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7</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北斗卫星定位装置安装</w:t>
      </w:r>
      <w:r>
        <w:rPr>
          <w:rFonts w:ascii="Times New Roman" w:hAnsi="Times New Roman" w:eastAsia="楷体_GB2312"/>
          <w:sz w:val="32"/>
          <w:szCs w:val="32"/>
          <w:lang w:val="en"/>
        </w:rPr>
        <w:t>情况（</w:t>
      </w:r>
      <w:r>
        <w:rPr>
          <w:rFonts w:hint="default" w:ascii="Times New Roman" w:hAnsi="Times New Roman" w:eastAsia="楷体_GB2312"/>
          <w:sz w:val="32"/>
          <w:szCs w:val="32"/>
          <w:lang w:val="en"/>
        </w:rPr>
        <w:t>2</w:t>
      </w:r>
      <w:r>
        <w:rPr>
          <w:rFonts w:ascii="Times New Roman" w:hAnsi="Times New Roman" w:eastAsia="楷体_GB2312"/>
          <w:sz w:val="32"/>
          <w:szCs w:val="32"/>
          <w:lang w:val="en"/>
        </w:rPr>
        <w:t>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新增或更新</w:t>
      </w:r>
      <w:r>
        <w:rPr>
          <w:rFonts w:ascii="Times New Roman" w:hAnsi="Times New Roman" w:eastAsia="仿宋_GB2312"/>
          <w:sz w:val="32"/>
          <w:szCs w:val="32"/>
        </w:rPr>
        <w:t>农村道路客运车辆</w:t>
      </w:r>
      <w:r>
        <w:rPr>
          <w:rFonts w:hint="eastAsia" w:ascii="Times New Roman" w:hAnsi="Times New Roman" w:eastAsia="仿宋_GB2312"/>
          <w:sz w:val="32"/>
          <w:szCs w:val="32"/>
        </w:rPr>
        <w:t>安装北斗卫星定位装置的，按覆盖新增或更新车辆比例</w:t>
      </w:r>
      <w:r>
        <w:rPr>
          <w:rFonts w:ascii="Times New Roman" w:hAnsi="Times New Roman" w:eastAsia="仿宋_GB2312"/>
          <w:sz w:val="32"/>
          <w:szCs w:val="32"/>
        </w:rPr>
        <w:t>通过内插法得分</w:t>
      </w:r>
      <w:r>
        <w:rPr>
          <w:rFonts w:hint="eastAsia" w:ascii="Times New Roman" w:hAnsi="Times New Roman" w:eastAsia="仿宋_GB2312"/>
          <w:sz w:val="32"/>
          <w:szCs w:val="32"/>
        </w:rPr>
        <w:t>；无新增或更新农村道路客运车辆的，得2分。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数据来源：各省份相关佐证材料。</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8</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运行安全动态监管情况（</w:t>
      </w:r>
      <w:r>
        <w:rPr>
          <w:rFonts w:hint="default" w:ascii="Times New Roman" w:hAnsi="Times New Roman" w:eastAsia="楷体_GB2312"/>
          <w:sz w:val="32"/>
          <w:szCs w:val="32"/>
          <w:lang w:val="en"/>
        </w:rPr>
        <w:t>3</w:t>
      </w:r>
      <w:r>
        <w:rPr>
          <w:rFonts w:ascii="Times New Roman" w:hAnsi="Times New Roman" w:eastAsia="楷体_GB2312"/>
          <w:sz w:val="32"/>
          <w:szCs w:val="32"/>
          <w:lang w:val="en"/>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将农村道路客运车辆接入动态监控系统开展安全监管的，按覆盖车辆比例通过内插法得分。</w:t>
      </w:r>
    </w:p>
    <w:p>
      <w:pPr>
        <w:adjustRightInd w:val="0"/>
        <w:snapToGrid w:val="0"/>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数据来源：各省份相关佐证材料。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（五）主体责任（满分</w:t>
      </w:r>
      <w:r>
        <w:rPr>
          <w:rFonts w:ascii="Times New Roman" w:hAnsi="Times New Roman" w:eastAsia="楷体_GB2312"/>
          <w:b/>
          <w:bCs/>
          <w:sz w:val="32"/>
          <w:szCs w:val="30"/>
        </w:rPr>
        <w:t>20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9</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纳入省级考核情况（5分）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省级党委</w:t>
      </w:r>
      <w:r>
        <w:rPr>
          <w:rFonts w:hint="eastAsia" w:ascii="Times New Roman" w:hAnsi="Times New Roman" w:eastAsia="仿宋_GB2312"/>
          <w:sz w:val="32"/>
          <w:szCs w:val="32"/>
        </w:rPr>
        <w:t>、</w:t>
      </w:r>
      <w:r>
        <w:rPr>
          <w:rFonts w:ascii="Times New Roman" w:hAnsi="Times New Roman" w:eastAsia="仿宋_GB2312"/>
          <w:sz w:val="32"/>
          <w:szCs w:val="32"/>
        </w:rPr>
        <w:t>政府将农村道路客运工作</w:t>
      </w:r>
      <w:r>
        <w:rPr>
          <w:rFonts w:hint="eastAsia" w:ascii="Times New Roman" w:hAnsi="Times New Roman" w:eastAsia="仿宋_GB2312"/>
          <w:sz w:val="32"/>
          <w:szCs w:val="32"/>
        </w:rPr>
        <w:t>直接纳入考核，或对</w:t>
      </w:r>
      <w:r>
        <w:rPr>
          <w:rFonts w:ascii="Times New Roman" w:hAnsi="Times New Roman" w:eastAsia="仿宋_GB2312"/>
          <w:sz w:val="32"/>
          <w:szCs w:val="32"/>
        </w:rPr>
        <w:t>“四好农村路”运营服务、城乡交通运输一体化、全域公交等事项</w:t>
      </w:r>
      <w:r>
        <w:rPr>
          <w:rFonts w:hint="eastAsia" w:ascii="Times New Roman" w:hAnsi="Times New Roman" w:eastAsia="仿宋_GB2312"/>
          <w:sz w:val="32"/>
          <w:szCs w:val="32"/>
        </w:rPr>
        <w:t>开展考核并将</w:t>
      </w:r>
      <w:r>
        <w:rPr>
          <w:rFonts w:ascii="Times New Roman" w:hAnsi="Times New Roman" w:eastAsia="仿宋_GB2312"/>
          <w:sz w:val="32"/>
          <w:szCs w:val="32"/>
        </w:rPr>
        <w:t>农村道路客运相关内容</w:t>
      </w:r>
      <w:r>
        <w:rPr>
          <w:rFonts w:hint="eastAsia" w:ascii="Times New Roman" w:hAnsi="Times New Roman" w:eastAsia="仿宋_GB2312"/>
          <w:sz w:val="32"/>
          <w:szCs w:val="32"/>
        </w:rPr>
        <w:t>纳入其中的</w:t>
      </w:r>
      <w:r>
        <w:rPr>
          <w:rFonts w:ascii="Times New Roman" w:hAnsi="Times New Roman" w:eastAsia="仿宋_GB2312"/>
          <w:sz w:val="32"/>
          <w:szCs w:val="32"/>
        </w:rPr>
        <w:t>，得</w:t>
      </w:r>
      <w:r>
        <w:rPr>
          <w:rFonts w:hint="eastAsia" w:ascii="Times New Roman" w:hAnsi="Times New Roman" w:eastAsia="仿宋_GB2312"/>
          <w:sz w:val="32"/>
          <w:szCs w:val="32"/>
        </w:rPr>
        <w:t>5</w:t>
      </w:r>
      <w:r>
        <w:rPr>
          <w:rFonts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数据来源：各省份相关政策文件。</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hint="default" w:ascii="Times New Roman" w:hAnsi="Times New Roman" w:eastAsia="楷体_GB2312"/>
          <w:b/>
          <w:bCs/>
          <w:sz w:val="32"/>
          <w:szCs w:val="32"/>
          <w:lang w:val="en-US"/>
        </w:rPr>
        <w:t>10</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补贴政策制定情况（</w:t>
      </w:r>
      <w:r>
        <w:rPr>
          <w:rFonts w:hint="default" w:ascii="Times New Roman" w:hAnsi="Times New Roman" w:eastAsia="楷体_GB2312"/>
          <w:sz w:val="32"/>
          <w:szCs w:val="32"/>
          <w:lang w:val="en-US"/>
        </w:rPr>
        <w:t>5</w:t>
      </w:r>
      <w:r>
        <w:rPr>
          <w:rFonts w:ascii="Times New Roman" w:hAnsi="Times New Roman" w:eastAsia="楷体_GB2312"/>
          <w:sz w:val="32"/>
          <w:szCs w:val="32"/>
          <w:lang w:val="en"/>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省级财政、交通运输</w:t>
      </w:r>
      <w:r>
        <w:rPr>
          <w:rFonts w:hint="eastAsia" w:ascii="Times New Roman" w:hAnsi="Times New Roman" w:eastAsia="仿宋_GB2312"/>
          <w:sz w:val="32"/>
          <w:szCs w:val="32"/>
        </w:rPr>
        <w:t>主管</w:t>
      </w:r>
      <w:r>
        <w:rPr>
          <w:rFonts w:ascii="Times New Roman" w:hAnsi="Times New Roman" w:eastAsia="仿宋_GB2312"/>
          <w:sz w:val="32"/>
          <w:szCs w:val="32"/>
        </w:rPr>
        <w:t>部门出台政策文件</w:t>
      </w:r>
      <w:r>
        <w:rPr>
          <w:rFonts w:hint="eastAsia" w:ascii="Times New Roman" w:hAnsi="Times New Roman" w:eastAsia="仿宋_GB2312"/>
          <w:sz w:val="32"/>
          <w:szCs w:val="32"/>
        </w:rPr>
        <w:t>，</w:t>
      </w:r>
      <w:r>
        <w:rPr>
          <w:rFonts w:ascii="Times New Roman" w:hAnsi="Times New Roman" w:eastAsia="仿宋_GB2312"/>
          <w:sz w:val="32"/>
          <w:szCs w:val="32"/>
        </w:rPr>
        <w:t>明确本省份农村客运补贴资金</w:t>
      </w:r>
      <w:r>
        <w:rPr>
          <w:rFonts w:hint="eastAsia" w:ascii="Times New Roman" w:hAnsi="Times New Roman" w:eastAsia="仿宋_GB2312"/>
          <w:sz w:val="32"/>
          <w:szCs w:val="32"/>
        </w:rPr>
        <w:t>（农村道路客运部分）</w:t>
      </w:r>
      <w:r>
        <w:rPr>
          <w:rFonts w:ascii="Times New Roman" w:hAnsi="Times New Roman" w:eastAsia="仿宋_GB2312"/>
          <w:sz w:val="32"/>
          <w:szCs w:val="32"/>
        </w:rPr>
        <w:t>具体</w:t>
      </w:r>
      <w:r>
        <w:rPr>
          <w:rFonts w:hint="eastAsia" w:ascii="Times New Roman" w:hAnsi="Times New Roman" w:eastAsia="仿宋_GB2312"/>
          <w:sz w:val="32"/>
          <w:szCs w:val="32"/>
        </w:rPr>
        <w:t>使用要求</w:t>
      </w:r>
      <w:r>
        <w:rPr>
          <w:rFonts w:ascii="Times New Roman" w:hAnsi="Times New Roman" w:eastAsia="仿宋_GB2312"/>
          <w:sz w:val="32"/>
          <w:szCs w:val="32"/>
        </w:rPr>
        <w:t>的，得</w:t>
      </w:r>
      <w:r>
        <w:rPr>
          <w:rFonts w:hint="default" w:ascii="Times New Roman" w:hAnsi="Times New Roman" w:eastAsia="仿宋_GB2312"/>
          <w:sz w:val="32"/>
          <w:szCs w:val="32"/>
          <w:lang w:val="en-US"/>
        </w:rPr>
        <w:t>5</w:t>
      </w:r>
      <w:r>
        <w:rPr>
          <w:rFonts w:ascii="Times New Roman" w:hAnsi="Times New Roman" w:eastAsia="仿宋_GB2312"/>
          <w:sz w:val="32"/>
          <w:szCs w:val="32"/>
        </w:rPr>
        <w:t>分；否则，不得分。</w:t>
      </w:r>
    </w:p>
    <w:p>
      <w:pPr>
        <w:spacing w:line="600" w:lineRule="exact"/>
        <w:ind w:firstLine="640"/>
        <w:rPr>
          <w:rFonts w:hint="default" w:ascii="Times New Roman" w:hAnsi="Times New Roman" w:eastAsia="仿宋_GB2312"/>
          <w:sz w:val="32"/>
          <w:szCs w:val="32"/>
          <w:lang w:val="en-US" w:eastAsia="zh-CN"/>
        </w:rPr>
      </w:pPr>
      <w:r>
        <w:rPr>
          <w:rFonts w:ascii="Times New Roman" w:hAnsi="Times New Roman" w:eastAsia="仿宋_GB2312"/>
          <w:sz w:val="32"/>
          <w:szCs w:val="32"/>
        </w:rPr>
        <w:t>数据来源：各省份相关政策文件。</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w:t>
      </w:r>
      <w:r>
        <w:rPr>
          <w:rFonts w:hint="default" w:ascii="Times New Roman" w:hAnsi="Times New Roman" w:eastAsia="楷体_GB2312"/>
          <w:b/>
          <w:bCs/>
          <w:sz w:val="32"/>
          <w:szCs w:val="32"/>
          <w:lang w:val="en-US"/>
        </w:rPr>
        <w:t>1</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资金投入情况（10分）</w:t>
      </w:r>
    </w:p>
    <w:p>
      <w:pPr>
        <w:spacing w:line="600" w:lineRule="exact"/>
        <w:ind w:firstLine="640"/>
        <w:rPr>
          <w:rFonts w:hint="eastAsia" w:ascii="Times New Roman" w:hAnsi="Times New Roman" w:eastAsia="仿宋_GB2312"/>
          <w:sz w:val="32"/>
          <w:szCs w:val="32"/>
        </w:rPr>
      </w:pPr>
      <w:r>
        <w:rPr>
          <w:rFonts w:hint="eastAsia" w:ascii="Times New Roman" w:hAnsi="Times New Roman" w:eastAsia="仿宋_GB2312"/>
          <w:sz w:val="32"/>
          <w:szCs w:val="32"/>
        </w:rPr>
        <w:t>将农村客运补助资金（农村道路客运部分）全部用于支持农村道路客运发展的，得5分；否则，根据用于支持农村道路客运发展的资金比例，按照内插法计算得分。</w:t>
      </w:r>
    </w:p>
    <w:p>
      <w:pPr>
        <w:spacing w:line="600" w:lineRule="exact"/>
        <w:ind w:firstLine="640"/>
        <w:rPr>
          <w:rFonts w:hint="eastAsia" w:ascii="Times New Roman" w:hAnsi="Times New Roman" w:eastAsia="仿宋_GB2312"/>
          <w:sz w:val="32"/>
          <w:szCs w:val="32"/>
        </w:rPr>
      </w:pPr>
      <w:r>
        <w:rPr>
          <w:rFonts w:hint="eastAsia" w:ascii="Times New Roman" w:hAnsi="Times New Roman" w:eastAsia="仿宋_GB2312"/>
          <w:sz w:val="32"/>
          <w:szCs w:val="32"/>
        </w:rPr>
        <w:t>除中央农村客运补助资金（农村道路客运部分）外，地方各级（包括省、市、县三级）财政给予农村道路客运发展补助、且不低于“十三五”期年平均规模的，得5分；补贴规模降低的，按照内插法计算得分；无补贴的，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数据来源：各省份政策文件及相关佐证材料。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（六）加分项（满分</w:t>
      </w:r>
      <w:r>
        <w:rPr>
          <w:rFonts w:ascii="Times New Roman" w:hAnsi="Times New Roman" w:eastAsia="楷体_GB2312"/>
          <w:b/>
          <w:bCs/>
          <w:sz w:val="32"/>
          <w:szCs w:val="30"/>
        </w:rPr>
        <w:t>3</w:t>
      </w:r>
      <w:r>
        <w:rPr>
          <w:rFonts w:hint="default" w:ascii="Times New Roman" w:hAnsi="Times New Roman" w:eastAsia="楷体_GB2312"/>
          <w:b/>
          <w:bCs/>
          <w:sz w:val="32"/>
          <w:szCs w:val="30"/>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辖区范围内有20个以下国家乡村振兴重点帮扶县的省份，得1分；辖区范围内有20个及以上国家乡村振兴重点帮扶县，得2分。辖区范围内有</w:t>
      </w:r>
      <w:r>
        <w:rPr>
          <w:rFonts w:hint="eastAsia" w:ascii="Times New Roman" w:hAnsi="Times New Roman" w:eastAsia="仿宋_GB2312"/>
          <w:sz w:val="32"/>
          <w:szCs w:val="32"/>
        </w:rPr>
        <w:t>15</w:t>
      </w:r>
      <w:r>
        <w:rPr>
          <w:rFonts w:ascii="Times New Roman" w:hAnsi="Times New Roman" w:eastAsia="仿宋_GB2312"/>
          <w:sz w:val="32"/>
          <w:szCs w:val="32"/>
        </w:rPr>
        <w:t>个以</w:t>
      </w:r>
      <w:r>
        <w:rPr>
          <w:rFonts w:hint="eastAsia" w:ascii="Times New Roman" w:hAnsi="Times New Roman" w:eastAsia="仿宋_GB2312"/>
          <w:sz w:val="32"/>
          <w:szCs w:val="32"/>
        </w:rPr>
        <w:t>下</w:t>
      </w:r>
      <w:r>
        <w:rPr>
          <w:rFonts w:ascii="Times New Roman" w:hAnsi="Times New Roman" w:eastAsia="仿宋_GB2312"/>
          <w:sz w:val="32"/>
          <w:szCs w:val="32"/>
        </w:rPr>
        <w:t>陆地边境县的省份，得</w:t>
      </w:r>
      <w:r>
        <w:rPr>
          <w:rFonts w:hint="eastAsia" w:ascii="Times New Roman" w:hAnsi="Times New Roman" w:eastAsia="仿宋_GB2312"/>
          <w:sz w:val="32"/>
          <w:szCs w:val="32"/>
        </w:rPr>
        <w:t>0.5</w:t>
      </w:r>
      <w:r>
        <w:rPr>
          <w:rFonts w:ascii="Times New Roman" w:hAnsi="Times New Roman" w:eastAsia="仿宋_GB2312"/>
          <w:sz w:val="32"/>
          <w:szCs w:val="32"/>
        </w:rPr>
        <w:t>分</w:t>
      </w:r>
      <w:r>
        <w:rPr>
          <w:rFonts w:hint="eastAsia" w:ascii="Times New Roman" w:hAnsi="Times New Roman" w:eastAsia="仿宋_GB2312"/>
          <w:sz w:val="32"/>
          <w:szCs w:val="32"/>
        </w:rPr>
        <w:t>；</w:t>
      </w:r>
      <w:r>
        <w:rPr>
          <w:rFonts w:ascii="Times New Roman" w:hAnsi="Times New Roman" w:eastAsia="仿宋_GB2312"/>
          <w:sz w:val="32"/>
          <w:szCs w:val="32"/>
        </w:rPr>
        <w:t>辖区范围内有1</w:t>
      </w:r>
      <w:r>
        <w:rPr>
          <w:rFonts w:hint="eastAsia" w:ascii="Times New Roman" w:hAnsi="Times New Roman" w:eastAsia="仿宋_GB2312"/>
          <w:sz w:val="32"/>
          <w:szCs w:val="32"/>
        </w:rPr>
        <w:t>5</w:t>
      </w:r>
      <w:r>
        <w:rPr>
          <w:rFonts w:ascii="Times New Roman" w:hAnsi="Times New Roman" w:eastAsia="仿宋_GB2312"/>
          <w:sz w:val="32"/>
          <w:szCs w:val="32"/>
        </w:rPr>
        <w:t>个</w:t>
      </w:r>
      <w:r>
        <w:rPr>
          <w:rFonts w:hint="eastAsia" w:ascii="Times New Roman" w:hAnsi="Times New Roman" w:eastAsia="仿宋_GB2312"/>
          <w:sz w:val="32"/>
          <w:szCs w:val="32"/>
        </w:rPr>
        <w:t>及以上</w:t>
      </w:r>
      <w:r>
        <w:rPr>
          <w:rFonts w:ascii="Times New Roman" w:hAnsi="Times New Roman" w:eastAsia="仿宋_GB2312"/>
          <w:sz w:val="32"/>
          <w:szCs w:val="32"/>
        </w:rPr>
        <w:t>陆地边境县的省份，得</w:t>
      </w:r>
      <w:r>
        <w:rPr>
          <w:rFonts w:hint="eastAsia" w:ascii="Times New Roman" w:hAnsi="Times New Roman" w:eastAsia="仿宋_GB2312"/>
          <w:sz w:val="32"/>
          <w:szCs w:val="32"/>
        </w:rPr>
        <w:t>1</w:t>
      </w:r>
      <w:r>
        <w:rPr>
          <w:rFonts w:ascii="Times New Roman" w:hAnsi="Times New Roman" w:eastAsia="仿宋_GB2312"/>
          <w:sz w:val="32"/>
          <w:szCs w:val="32"/>
        </w:rPr>
        <w:t>分</w:t>
      </w:r>
      <w:r>
        <w:rPr>
          <w:rFonts w:hint="eastAsia" w:ascii="Times New Roman" w:hAnsi="Times New Roman" w:eastAsia="仿宋_GB2312"/>
          <w:sz w:val="32"/>
          <w:szCs w:val="32"/>
        </w:rPr>
        <w:t>。</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数据来源：《中央农村工作领导小组办公室 国家乡村振兴局关于公布国家乡村振兴重点帮扶县名单的通知》《中国陆地边境县（旗）、市（市辖区）一览表》。</w:t>
      </w:r>
    </w:p>
    <w:p>
      <w:pPr>
        <w:adjustRightInd w:val="0"/>
        <w:snapToGrid w:val="0"/>
        <w:spacing w:line="600" w:lineRule="exact"/>
        <w:ind w:firstLine="640" w:firstLineChars="200"/>
        <w:outlineLvl w:val="0"/>
        <w:rPr>
          <w:rFonts w:ascii="Times New Roman" w:hAnsi="Times New Roman" w:eastAsia="黑体"/>
          <w:sz w:val="32"/>
          <w:szCs w:val="32"/>
        </w:rPr>
      </w:pPr>
      <w:r>
        <w:rPr>
          <w:rFonts w:ascii="Times New Roman" w:hAnsi="Times New Roman" w:eastAsia="黑体"/>
          <w:sz w:val="32"/>
          <w:szCs w:val="32"/>
        </w:rPr>
        <w:t>二、农村客运（岛际和农村水路</w:t>
      </w:r>
      <w:r>
        <w:rPr>
          <w:rFonts w:hint="eastAsia" w:ascii="Times New Roman" w:hAnsi="Times New Roman" w:eastAsia="黑体"/>
          <w:sz w:val="32"/>
          <w:szCs w:val="32"/>
        </w:rPr>
        <w:t>客运</w:t>
      </w:r>
      <w:r>
        <w:rPr>
          <w:rFonts w:ascii="Times New Roman" w:hAnsi="Times New Roman" w:eastAsia="黑体"/>
          <w:sz w:val="32"/>
          <w:szCs w:val="32"/>
        </w:rPr>
        <w:t>部分）考核指标（共计100分）。</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（一）运营效率（满分</w:t>
      </w:r>
      <w:r>
        <w:rPr>
          <w:rFonts w:ascii="Times New Roman" w:hAnsi="Times New Roman" w:eastAsia="楷体_GB2312"/>
          <w:b/>
          <w:bCs/>
          <w:sz w:val="32"/>
          <w:szCs w:val="30"/>
        </w:rPr>
        <w:t>17</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w:t>
      </w:r>
      <w:r>
        <w:rPr>
          <w:rFonts w:hint="default" w:ascii="Times New Roman" w:hAnsi="Times New Roman" w:eastAsia="楷体_GB2312"/>
          <w:b/>
          <w:bCs/>
          <w:sz w:val="32"/>
          <w:szCs w:val="32"/>
        </w:rPr>
        <w:t>：</w:t>
      </w:r>
      <w:r>
        <w:rPr>
          <w:rFonts w:hint="eastAsia" w:ascii="Times New Roman" w:hAnsi="Times New Roman" w:eastAsia="楷体_GB2312"/>
          <w:sz w:val="32"/>
          <w:szCs w:val="32"/>
        </w:rPr>
        <w:t>标准化船型制定情况</w:t>
      </w:r>
      <w:r>
        <w:rPr>
          <w:rFonts w:ascii="Times New Roman" w:hAnsi="Times New Roman" w:eastAsia="仿宋_GB2312"/>
          <w:sz w:val="32"/>
          <w:szCs w:val="32"/>
        </w:rPr>
        <w:t>（8分）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制定适于本省</w:t>
      </w:r>
      <w:r>
        <w:rPr>
          <w:rFonts w:hint="eastAsia" w:ascii="Times New Roman" w:hAnsi="Times New Roman" w:eastAsia="仿宋_GB2312"/>
          <w:sz w:val="32"/>
          <w:szCs w:val="32"/>
          <w:lang w:eastAsia="zh-CN"/>
        </w:rPr>
        <w:t>份</w:t>
      </w:r>
      <w:r>
        <w:rPr>
          <w:rFonts w:hint="eastAsia" w:ascii="Times New Roman" w:hAnsi="Times New Roman" w:eastAsia="仿宋_GB2312"/>
          <w:sz w:val="32"/>
          <w:szCs w:val="32"/>
        </w:rPr>
        <w:t>内河水域农村渡船标准化船型的，得</w:t>
      </w:r>
      <w:r>
        <w:rPr>
          <w:rFonts w:ascii="Times New Roman" w:hAnsi="Times New Roman" w:eastAsia="仿宋_GB2312"/>
          <w:sz w:val="32"/>
          <w:szCs w:val="32"/>
        </w:rPr>
        <w:t>8</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2</w:t>
      </w:r>
      <w:r>
        <w:rPr>
          <w:rFonts w:hint="default" w:ascii="Times New Roman" w:hAnsi="Times New Roman" w:eastAsia="楷体_GB2312"/>
          <w:b/>
          <w:bCs/>
          <w:sz w:val="32"/>
          <w:szCs w:val="32"/>
        </w:rPr>
        <w:t>：</w:t>
      </w:r>
      <w:r>
        <w:rPr>
          <w:rFonts w:hint="eastAsia" w:ascii="Times New Roman" w:hAnsi="Times New Roman" w:eastAsia="楷体_GB2312"/>
          <w:sz w:val="32"/>
          <w:szCs w:val="32"/>
        </w:rPr>
        <w:t>船龄年轻化情况</w:t>
      </w:r>
      <w:r>
        <w:rPr>
          <w:rFonts w:ascii="Times New Roman" w:hAnsi="Times New Roman" w:eastAsia="仿宋_GB2312"/>
          <w:sz w:val="32"/>
          <w:szCs w:val="32"/>
        </w:rPr>
        <w:t>（9分）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船龄15年以下岛际和农村水路客船所占比例情况。船龄15年以下岛际和农村水路客船艘数占比&lt;40%的，不得分；40%≤占比&lt;50%的，得1分；50%≤占比&lt;60%的，得3分；60%≤占比&lt;70%的，得5分；70%≤占比&lt;80%的，得7分；占比≥80%的，得分9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相关文件及佐证材料。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（二）通达情况（满分</w:t>
      </w:r>
      <w:r>
        <w:rPr>
          <w:rFonts w:ascii="Times New Roman" w:hAnsi="Times New Roman" w:eastAsia="楷体_GB2312"/>
          <w:b/>
          <w:bCs/>
          <w:sz w:val="32"/>
          <w:szCs w:val="30"/>
        </w:rPr>
        <w:t>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3</w:t>
      </w:r>
      <w:r>
        <w:rPr>
          <w:rFonts w:hint="default" w:ascii="Times New Roman" w:hAnsi="Times New Roman" w:eastAsia="楷体_GB2312"/>
          <w:b/>
          <w:bCs/>
          <w:sz w:val="32"/>
          <w:szCs w:val="32"/>
        </w:rPr>
        <w:t>：</w:t>
      </w:r>
      <w:r>
        <w:rPr>
          <w:rFonts w:hint="eastAsia" w:ascii="Times New Roman" w:hAnsi="Times New Roman" w:eastAsia="楷体_GB2312"/>
          <w:sz w:val="32"/>
          <w:szCs w:val="32"/>
        </w:rPr>
        <w:t>运力保障机制建立情况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建立重点水域岛际和农村水路客运运力保障机制，解决涉水地区群众出行难问题情况的，得</w:t>
      </w:r>
      <w:r>
        <w:rPr>
          <w:rFonts w:ascii="Times New Roman" w:hAnsi="Times New Roman" w:eastAsia="仿宋_GB2312"/>
          <w:sz w:val="32"/>
          <w:szCs w:val="32"/>
        </w:rPr>
        <w:t>5</w:t>
      </w:r>
      <w:r>
        <w:rPr>
          <w:rFonts w:hint="eastAsia" w:ascii="Times New Roman" w:hAnsi="Times New Roman" w:eastAsia="仿宋_GB2312"/>
          <w:sz w:val="32"/>
          <w:szCs w:val="32"/>
        </w:rPr>
        <w:t>分；否则，不得分。</w:t>
      </w:r>
    </w:p>
    <w:p>
      <w:pPr>
        <w:spacing w:line="600" w:lineRule="exact"/>
        <w:ind w:firstLine="640"/>
        <w:rPr>
          <w:rFonts w:hint="eastAsia"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相关文件及佐证材料。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（三）服务质量（满分</w:t>
      </w:r>
      <w:r>
        <w:rPr>
          <w:rFonts w:ascii="Times New Roman" w:hAnsi="Times New Roman" w:eastAsia="楷体_GB2312"/>
          <w:b/>
          <w:bCs/>
          <w:sz w:val="32"/>
          <w:szCs w:val="30"/>
        </w:rPr>
        <w:t>13</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4</w:t>
      </w:r>
      <w:r>
        <w:rPr>
          <w:rFonts w:hint="default" w:ascii="Times New Roman" w:hAnsi="Times New Roman" w:eastAsia="楷体_GB2312"/>
          <w:b/>
          <w:bCs/>
          <w:sz w:val="32"/>
          <w:szCs w:val="32"/>
        </w:rPr>
        <w:t>：</w:t>
      </w:r>
      <w:r>
        <w:rPr>
          <w:rFonts w:hint="eastAsia" w:ascii="Times New Roman" w:hAnsi="Times New Roman" w:eastAsia="楷体_GB2312"/>
          <w:sz w:val="32"/>
          <w:szCs w:val="32"/>
        </w:rPr>
        <w:t>服务管理制度制定情况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制定本省</w:t>
      </w:r>
      <w:r>
        <w:rPr>
          <w:rFonts w:ascii="Times New Roman" w:hAnsi="Times New Roman" w:eastAsia="仿宋_GB2312"/>
          <w:sz w:val="32"/>
          <w:szCs w:val="32"/>
        </w:rPr>
        <w:t>份</w:t>
      </w:r>
      <w:r>
        <w:rPr>
          <w:rFonts w:hint="eastAsia" w:ascii="Times New Roman" w:hAnsi="Times New Roman" w:eastAsia="仿宋_GB2312"/>
          <w:sz w:val="32"/>
          <w:szCs w:val="32"/>
        </w:rPr>
        <w:t>岛际和农村水路客运服务管理相关文件，促进服务质量提升的，得5分；否则，不得分。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相关文件及佐证材料。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5</w:t>
      </w:r>
      <w:r>
        <w:rPr>
          <w:rFonts w:hint="default" w:ascii="Times New Roman" w:hAnsi="Times New Roman" w:eastAsia="楷体_GB2312"/>
          <w:b/>
          <w:bCs/>
          <w:sz w:val="32"/>
          <w:szCs w:val="32"/>
        </w:rPr>
        <w:t>：</w:t>
      </w:r>
      <w:r>
        <w:rPr>
          <w:rFonts w:hint="eastAsia" w:ascii="Times New Roman" w:hAnsi="Times New Roman" w:eastAsia="楷体_GB2312"/>
          <w:sz w:val="32"/>
          <w:szCs w:val="32"/>
        </w:rPr>
        <w:t>公交化运营情况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探索岛际和农村水路客运公交化运营的情况。每有一条岛际和农村水路公交化运营线路的加1分，最高得5分；没有岛际和农村水路公交化运营线路的，不得分。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相关文件及佐证材料。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6</w:t>
      </w:r>
      <w:r>
        <w:rPr>
          <w:rFonts w:hint="default" w:ascii="Times New Roman" w:hAnsi="Times New Roman" w:eastAsia="楷体_GB2312"/>
          <w:b/>
          <w:bCs/>
          <w:sz w:val="32"/>
          <w:szCs w:val="32"/>
        </w:rPr>
        <w:t>：</w:t>
      </w:r>
      <w:r>
        <w:rPr>
          <w:rFonts w:hint="eastAsia" w:ascii="Times New Roman" w:hAnsi="Times New Roman" w:eastAsia="楷体_GB2312"/>
          <w:sz w:val="32"/>
          <w:szCs w:val="32"/>
        </w:rPr>
        <w:t>新能源或清洁能源使用情况</w:t>
      </w:r>
      <w:r>
        <w:rPr>
          <w:rFonts w:ascii="Times New Roman" w:hAnsi="Times New Roman" w:eastAsia="仿宋_GB2312"/>
          <w:sz w:val="32"/>
          <w:szCs w:val="32"/>
        </w:rPr>
        <w:t>（3分）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岛际和农村水路客运船舶探索使用新能源或清洁能源情况（含LNG动力船、电动船等）。当年新建成船舶没有使用新能源或清洁能源的，不得分；当年新建成的新能源或清洁能源船舶艘数占新建成船舶总艘数的比例（以下简称新建船比例）≤</w:t>
      </w:r>
      <w:r>
        <w:rPr>
          <w:rFonts w:ascii="Times New Roman" w:hAnsi="Times New Roman" w:eastAsia="仿宋_GB2312"/>
          <w:sz w:val="32"/>
          <w:szCs w:val="32"/>
        </w:rPr>
        <w:t>20%</w:t>
      </w:r>
      <w:r>
        <w:rPr>
          <w:rFonts w:hint="eastAsia" w:ascii="Times New Roman" w:hAnsi="Times New Roman" w:eastAsia="仿宋_GB2312"/>
          <w:sz w:val="32"/>
          <w:szCs w:val="32"/>
        </w:rPr>
        <w:t>的，得</w:t>
      </w:r>
      <w:r>
        <w:rPr>
          <w:rFonts w:ascii="Times New Roman" w:hAnsi="Times New Roman" w:eastAsia="仿宋_GB2312"/>
          <w:sz w:val="32"/>
          <w:szCs w:val="32"/>
        </w:rPr>
        <w:t>1</w:t>
      </w:r>
      <w:r>
        <w:rPr>
          <w:rFonts w:hint="eastAsia" w:ascii="Times New Roman" w:hAnsi="Times New Roman" w:eastAsia="仿宋_GB2312"/>
          <w:sz w:val="32"/>
          <w:szCs w:val="32"/>
        </w:rPr>
        <w:t>分；</w:t>
      </w:r>
      <w:r>
        <w:rPr>
          <w:rFonts w:ascii="Times New Roman" w:hAnsi="Times New Roman" w:eastAsia="仿宋_GB2312"/>
          <w:sz w:val="32"/>
          <w:szCs w:val="32"/>
        </w:rPr>
        <w:t>20%&lt;</w:t>
      </w:r>
      <w:r>
        <w:rPr>
          <w:rFonts w:hint="eastAsia" w:ascii="Times New Roman" w:hAnsi="Times New Roman" w:eastAsia="仿宋_GB2312"/>
          <w:sz w:val="32"/>
          <w:szCs w:val="32"/>
        </w:rPr>
        <w:t>新建船比例≤</w:t>
      </w:r>
      <w:r>
        <w:rPr>
          <w:rFonts w:ascii="Times New Roman" w:hAnsi="Times New Roman" w:eastAsia="仿宋_GB2312"/>
          <w:sz w:val="32"/>
          <w:szCs w:val="32"/>
        </w:rPr>
        <w:t>40%</w:t>
      </w:r>
      <w:r>
        <w:rPr>
          <w:rFonts w:hint="eastAsia" w:ascii="Times New Roman" w:hAnsi="Times New Roman" w:eastAsia="仿宋_GB2312"/>
          <w:sz w:val="32"/>
          <w:szCs w:val="32"/>
        </w:rPr>
        <w:t>的，得</w:t>
      </w:r>
      <w:r>
        <w:rPr>
          <w:rFonts w:ascii="Times New Roman" w:hAnsi="Times New Roman" w:eastAsia="仿宋_GB2312"/>
          <w:sz w:val="32"/>
          <w:szCs w:val="32"/>
        </w:rPr>
        <w:t>2</w:t>
      </w:r>
      <w:r>
        <w:rPr>
          <w:rFonts w:hint="eastAsia" w:ascii="Times New Roman" w:hAnsi="Times New Roman" w:eastAsia="仿宋_GB2312"/>
          <w:sz w:val="32"/>
          <w:szCs w:val="32"/>
        </w:rPr>
        <w:t>分；新建船比例</w:t>
      </w:r>
      <w:r>
        <w:rPr>
          <w:rFonts w:ascii="Times New Roman" w:hAnsi="Times New Roman" w:eastAsia="仿宋_GB2312"/>
          <w:sz w:val="32"/>
          <w:szCs w:val="32"/>
        </w:rPr>
        <w:t>&gt;40%</w:t>
      </w:r>
      <w:r>
        <w:rPr>
          <w:rFonts w:hint="eastAsia" w:ascii="Times New Roman" w:hAnsi="Times New Roman" w:eastAsia="仿宋_GB2312"/>
          <w:sz w:val="32"/>
          <w:szCs w:val="32"/>
        </w:rPr>
        <w:t>的，得</w:t>
      </w:r>
      <w:r>
        <w:rPr>
          <w:rFonts w:ascii="Times New Roman" w:hAnsi="Times New Roman" w:eastAsia="仿宋_GB2312"/>
          <w:sz w:val="32"/>
          <w:szCs w:val="32"/>
        </w:rPr>
        <w:t>3</w:t>
      </w:r>
      <w:r>
        <w:rPr>
          <w:rFonts w:hint="eastAsia" w:ascii="Times New Roman" w:hAnsi="Times New Roman" w:eastAsia="仿宋_GB2312"/>
          <w:sz w:val="32"/>
          <w:szCs w:val="32"/>
        </w:rPr>
        <w:t>分。</w:t>
      </w:r>
    </w:p>
    <w:p>
      <w:pPr>
        <w:spacing w:line="600" w:lineRule="exact"/>
        <w:ind w:firstLine="640"/>
        <w:rPr>
          <w:rFonts w:hint="eastAsia"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相关文件及佐证材料。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（四）安全运营（满分</w:t>
      </w:r>
      <w:r>
        <w:rPr>
          <w:rFonts w:ascii="Times New Roman" w:hAnsi="Times New Roman" w:eastAsia="楷体_GB2312"/>
          <w:b/>
          <w:bCs/>
          <w:sz w:val="32"/>
          <w:szCs w:val="30"/>
        </w:rPr>
        <w:t>35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7</w:t>
      </w:r>
      <w:r>
        <w:rPr>
          <w:rFonts w:hint="default" w:ascii="Times New Roman" w:hAnsi="Times New Roman" w:eastAsia="楷体_GB2312"/>
          <w:b/>
          <w:bCs/>
          <w:sz w:val="32"/>
          <w:szCs w:val="32"/>
        </w:rPr>
        <w:t>：</w:t>
      </w:r>
      <w:r>
        <w:rPr>
          <w:rFonts w:hint="eastAsia" w:ascii="Times New Roman" w:hAnsi="Times New Roman" w:eastAsia="楷体_GB2312"/>
          <w:sz w:val="32"/>
          <w:szCs w:val="32"/>
        </w:rPr>
        <w:t>安全管理</w:t>
      </w:r>
      <w:r>
        <w:rPr>
          <w:rFonts w:hint="eastAsia" w:ascii="Times New Roman" w:hAnsi="Times New Roman" w:eastAsia="仿宋_GB2312"/>
          <w:sz w:val="32"/>
          <w:szCs w:val="32"/>
        </w:rPr>
        <w:t>政策制定情况</w:t>
      </w:r>
      <w:r>
        <w:rPr>
          <w:rFonts w:ascii="Times New Roman" w:hAnsi="Times New Roman" w:eastAsia="仿宋_GB2312"/>
          <w:sz w:val="32"/>
          <w:szCs w:val="32"/>
        </w:rPr>
        <w:t>（3分）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制定本省份岛际和农村水路客运安全管理相关文件的，得</w:t>
      </w:r>
      <w:r>
        <w:rPr>
          <w:rFonts w:ascii="Times New Roman" w:hAnsi="Times New Roman" w:eastAsia="仿宋_GB2312"/>
          <w:sz w:val="32"/>
          <w:szCs w:val="32"/>
        </w:rPr>
        <w:t>3</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相关政策文件及佐证材料。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8</w:t>
      </w:r>
      <w:r>
        <w:rPr>
          <w:rFonts w:hint="default" w:ascii="Times New Roman" w:hAnsi="Times New Roman" w:eastAsia="楷体_GB2312"/>
          <w:b/>
          <w:bCs/>
          <w:sz w:val="32"/>
          <w:szCs w:val="32"/>
        </w:rPr>
        <w:t>：</w:t>
      </w:r>
      <w:r>
        <w:rPr>
          <w:rFonts w:hint="eastAsia" w:ascii="Times New Roman" w:hAnsi="Times New Roman" w:eastAsia="楷体_GB2312"/>
          <w:sz w:val="32"/>
          <w:szCs w:val="32"/>
        </w:rPr>
        <w:t>实名制与签单发航制度落实</w:t>
      </w:r>
      <w:r>
        <w:rPr>
          <w:rFonts w:hint="eastAsia" w:ascii="Times New Roman" w:hAnsi="Times New Roman" w:eastAsia="仿宋_GB2312"/>
          <w:sz w:val="32"/>
          <w:szCs w:val="32"/>
        </w:rPr>
        <w:t>情况</w:t>
      </w:r>
      <w:r>
        <w:rPr>
          <w:rFonts w:ascii="Times New Roman" w:hAnsi="Times New Roman" w:eastAsia="仿宋_GB2312"/>
          <w:sz w:val="32"/>
          <w:szCs w:val="32"/>
        </w:rPr>
        <w:t>（4分）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按照本省份公布的实施范围督促经营者落实岛际和农村水路客运实名制管理要求和签单发航制度的，得</w:t>
      </w:r>
      <w:r>
        <w:rPr>
          <w:rFonts w:ascii="Times New Roman" w:hAnsi="Times New Roman" w:eastAsia="仿宋_GB2312"/>
          <w:sz w:val="32"/>
          <w:szCs w:val="32"/>
        </w:rPr>
        <w:t>4</w:t>
      </w:r>
      <w:r>
        <w:rPr>
          <w:rFonts w:hint="eastAsia" w:ascii="Times New Roman" w:hAnsi="Times New Roman" w:eastAsia="仿宋_GB2312"/>
          <w:sz w:val="32"/>
          <w:szCs w:val="32"/>
        </w:rPr>
        <w:t>分；仅落实实名制管理要求或签单发航制度的，得</w:t>
      </w:r>
      <w:r>
        <w:rPr>
          <w:rFonts w:ascii="Times New Roman" w:hAnsi="Times New Roman" w:eastAsia="仿宋_GB2312"/>
          <w:sz w:val="32"/>
          <w:szCs w:val="32"/>
        </w:rPr>
        <w:t>2</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相关政策文件及佐证材料。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9</w:t>
      </w:r>
      <w:r>
        <w:rPr>
          <w:rFonts w:hint="default" w:ascii="Times New Roman" w:hAnsi="Times New Roman" w:eastAsia="楷体_GB2312"/>
          <w:b/>
          <w:bCs/>
          <w:sz w:val="32"/>
          <w:szCs w:val="32"/>
        </w:rPr>
        <w:t>：</w:t>
      </w:r>
      <w:r>
        <w:rPr>
          <w:rFonts w:hint="eastAsia" w:ascii="Times New Roman" w:hAnsi="Times New Roman" w:eastAsia="仿宋_GB2312"/>
          <w:sz w:val="32"/>
          <w:szCs w:val="32"/>
        </w:rPr>
        <w:t>安检查危制度落实情况</w:t>
      </w:r>
      <w:r>
        <w:rPr>
          <w:rFonts w:ascii="Times New Roman" w:hAnsi="Times New Roman" w:eastAsia="仿宋_GB2312"/>
          <w:sz w:val="32"/>
          <w:szCs w:val="32"/>
        </w:rPr>
        <w:t>（3分）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落实岛际和农村水路客运码头安全检查设施更新改造及安检查危制度的，得3分；否则，不得分。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相关政策文件及佐证材料。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10</w:t>
      </w:r>
      <w:r>
        <w:rPr>
          <w:rFonts w:hint="default" w:ascii="Times New Roman" w:hAnsi="Times New Roman" w:eastAsia="楷体_GB2312"/>
          <w:b/>
          <w:bCs/>
          <w:sz w:val="32"/>
          <w:szCs w:val="32"/>
        </w:rPr>
        <w:t>：</w:t>
      </w:r>
      <w:r>
        <w:rPr>
          <w:rFonts w:hint="eastAsia" w:ascii="Times New Roman" w:hAnsi="Times New Roman" w:eastAsia="楷体_GB2312"/>
          <w:sz w:val="32"/>
          <w:szCs w:val="32"/>
        </w:rPr>
        <w:t>船舶动态监控情况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对所有岛际和农村水路客运船舶实现岸基动态监控的，得5分；否则，根据实现动态监控船舶的比例，按照内插法计算得分。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政策文件及相关佐证材料。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11</w:t>
      </w:r>
      <w:r>
        <w:rPr>
          <w:rFonts w:hint="default" w:ascii="Times New Roman" w:hAnsi="Times New Roman" w:eastAsia="楷体_GB2312"/>
          <w:b/>
          <w:bCs/>
          <w:sz w:val="32"/>
          <w:szCs w:val="32"/>
        </w:rPr>
        <w:t>：</w:t>
      </w:r>
      <w:r>
        <w:rPr>
          <w:rFonts w:hint="eastAsia" w:ascii="Times New Roman" w:hAnsi="Times New Roman" w:eastAsia="楷体_GB2312"/>
          <w:sz w:val="32"/>
          <w:szCs w:val="32"/>
        </w:rPr>
        <w:t>安全责任事故情况</w:t>
      </w:r>
      <w:r>
        <w:rPr>
          <w:rFonts w:ascii="Times New Roman" w:hAnsi="Times New Roman" w:eastAsia="仿宋_GB2312"/>
          <w:sz w:val="32"/>
          <w:szCs w:val="32"/>
        </w:rPr>
        <w:t>（20分）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本省</w:t>
      </w:r>
      <w:r>
        <w:rPr>
          <w:rFonts w:ascii="Times New Roman" w:hAnsi="Times New Roman" w:eastAsia="仿宋_GB2312"/>
          <w:sz w:val="32"/>
          <w:szCs w:val="32"/>
        </w:rPr>
        <w:t>份</w:t>
      </w:r>
      <w:r>
        <w:rPr>
          <w:rFonts w:hint="eastAsia" w:ascii="Times New Roman" w:hAnsi="Times New Roman" w:eastAsia="仿宋_GB2312"/>
          <w:sz w:val="32"/>
          <w:szCs w:val="32"/>
        </w:rPr>
        <w:t>岛际和农村水路客运经营者未发生一般及以上安全责任事故的，得</w:t>
      </w:r>
      <w:r>
        <w:rPr>
          <w:rFonts w:ascii="Times New Roman" w:hAnsi="Times New Roman" w:eastAsia="仿宋_GB2312"/>
          <w:sz w:val="32"/>
          <w:szCs w:val="32"/>
        </w:rPr>
        <w:t>20</w:t>
      </w:r>
      <w:r>
        <w:rPr>
          <w:rFonts w:hint="eastAsia" w:ascii="Times New Roman" w:hAnsi="Times New Roman" w:eastAsia="仿宋_GB2312"/>
          <w:sz w:val="32"/>
          <w:szCs w:val="32"/>
        </w:rPr>
        <w:t>分；未发生较大及以上安全责任事故的，得</w:t>
      </w:r>
      <w:r>
        <w:rPr>
          <w:rFonts w:ascii="Times New Roman" w:hAnsi="Times New Roman" w:eastAsia="仿宋_GB2312"/>
          <w:sz w:val="32"/>
          <w:szCs w:val="32"/>
        </w:rPr>
        <w:t>15</w:t>
      </w:r>
      <w:r>
        <w:rPr>
          <w:rFonts w:hint="eastAsia" w:ascii="Times New Roman" w:hAnsi="Times New Roman" w:eastAsia="仿宋_GB2312"/>
          <w:sz w:val="32"/>
          <w:szCs w:val="32"/>
        </w:rPr>
        <w:t>分；未发生重大及以上安全责任事故的，得</w:t>
      </w:r>
      <w:r>
        <w:rPr>
          <w:rFonts w:ascii="Times New Roman" w:hAnsi="Times New Roman" w:eastAsia="仿宋_GB2312"/>
          <w:sz w:val="32"/>
          <w:szCs w:val="32"/>
        </w:rPr>
        <w:t>10</w:t>
      </w:r>
      <w:r>
        <w:rPr>
          <w:rFonts w:hint="eastAsia" w:ascii="Times New Roman" w:hAnsi="Times New Roman" w:eastAsia="仿宋_GB2312"/>
          <w:sz w:val="32"/>
          <w:szCs w:val="32"/>
        </w:rPr>
        <w:t>分；未发生特别重大安全责任事故的，得</w:t>
      </w:r>
      <w:r>
        <w:rPr>
          <w:rFonts w:ascii="Times New Roman" w:hAnsi="Times New Roman" w:eastAsia="仿宋_GB2312"/>
          <w:sz w:val="32"/>
          <w:szCs w:val="32"/>
        </w:rPr>
        <w:t>5</w:t>
      </w:r>
      <w:r>
        <w:rPr>
          <w:rFonts w:hint="eastAsia" w:ascii="Times New Roman" w:hAnsi="Times New Roman" w:eastAsia="仿宋_GB2312"/>
          <w:sz w:val="32"/>
          <w:szCs w:val="32"/>
        </w:rPr>
        <w:t>分；发生特别重大安全责任事故，得0分。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（五）主体责任（满分</w:t>
      </w:r>
      <w:r>
        <w:rPr>
          <w:rFonts w:ascii="Times New Roman" w:hAnsi="Times New Roman" w:eastAsia="楷体_GB2312"/>
          <w:b/>
          <w:bCs/>
          <w:sz w:val="32"/>
          <w:szCs w:val="30"/>
        </w:rPr>
        <w:t>30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12</w:t>
      </w:r>
      <w:r>
        <w:rPr>
          <w:rFonts w:hint="default" w:ascii="Times New Roman" w:hAnsi="Times New Roman" w:eastAsia="楷体_GB2312"/>
          <w:b/>
          <w:bCs/>
          <w:sz w:val="32"/>
          <w:szCs w:val="32"/>
        </w:rPr>
        <w:t>：</w:t>
      </w:r>
      <w:r>
        <w:rPr>
          <w:rFonts w:hint="eastAsia" w:ascii="Times New Roman" w:hAnsi="Times New Roman" w:eastAsia="仿宋_GB2312"/>
          <w:sz w:val="32"/>
          <w:szCs w:val="32"/>
        </w:rPr>
        <w:t>中长期发展规划制定情况</w:t>
      </w:r>
      <w:r>
        <w:rPr>
          <w:rFonts w:ascii="Times New Roman" w:hAnsi="Times New Roman" w:eastAsia="仿宋_GB2312"/>
          <w:sz w:val="32"/>
          <w:szCs w:val="32"/>
        </w:rPr>
        <w:t>（3分）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编制发布本省份岛际和农村水路客运中长期发展规划或将岛际和农村水路客运纳入交通运输中长期发展规划的，得3分；否则，不得分。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数据来源：各省份相关政策文件。</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13</w:t>
      </w:r>
      <w:r>
        <w:rPr>
          <w:rFonts w:hint="default" w:ascii="Times New Roman" w:hAnsi="Times New Roman" w:eastAsia="楷体_GB2312"/>
          <w:b/>
          <w:bCs/>
          <w:sz w:val="32"/>
          <w:szCs w:val="32"/>
        </w:rPr>
        <w:t>：</w:t>
      </w:r>
      <w:r>
        <w:rPr>
          <w:rFonts w:hint="eastAsia" w:ascii="Times New Roman" w:hAnsi="Times New Roman" w:eastAsia="仿宋_GB2312"/>
          <w:sz w:val="32"/>
          <w:szCs w:val="32"/>
        </w:rPr>
        <w:t>年度工作计划制定情况</w:t>
      </w:r>
      <w:r>
        <w:rPr>
          <w:rFonts w:ascii="Times New Roman" w:hAnsi="Times New Roman" w:eastAsia="仿宋_GB2312"/>
          <w:sz w:val="32"/>
          <w:szCs w:val="32"/>
        </w:rPr>
        <w:t>（2分）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制定本省份岛际和农村水路客运年度工作计划的，得</w:t>
      </w:r>
      <w:r>
        <w:rPr>
          <w:rFonts w:ascii="Times New Roman" w:hAnsi="Times New Roman" w:eastAsia="仿宋_GB2312"/>
          <w:sz w:val="32"/>
          <w:szCs w:val="32"/>
        </w:rPr>
        <w:t>2</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数据来源：各省份相关文件</w:t>
      </w:r>
      <w:r>
        <w:rPr>
          <w:rFonts w:hint="eastAsia" w:ascii="Times New Roman" w:hAnsi="Times New Roman" w:eastAsia="仿宋_GB2312"/>
          <w:sz w:val="32"/>
          <w:szCs w:val="32"/>
        </w:rPr>
        <w:t>及佐证材料</w:t>
      </w:r>
      <w:r>
        <w:rPr>
          <w:rFonts w:ascii="Times New Roman" w:hAnsi="Times New Roman" w:eastAsia="仿宋_GB2312"/>
          <w:sz w:val="32"/>
          <w:szCs w:val="32"/>
        </w:rPr>
        <w:t>。</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14</w:t>
      </w:r>
      <w:r>
        <w:rPr>
          <w:rFonts w:hint="default" w:ascii="Times New Roman" w:hAnsi="Times New Roman" w:eastAsia="楷体_GB2312"/>
          <w:b/>
          <w:bCs/>
          <w:sz w:val="32"/>
          <w:szCs w:val="32"/>
        </w:rPr>
        <w:t>：</w:t>
      </w:r>
      <w:r>
        <w:rPr>
          <w:rFonts w:hint="eastAsia" w:ascii="Times New Roman" w:hAnsi="Times New Roman" w:eastAsia="仿宋_GB2312"/>
          <w:sz w:val="32"/>
          <w:szCs w:val="32"/>
        </w:rPr>
        <w:t>运输管理办法制定情况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制定本省份12人以下客运船舶及乡镇客运渡船运输管理办法的，得</w:t>
      </w:r>
      <w:r>
        <w:rPr>
          <w:rFonts w:ascii="Times New Roman" w:hAnsi="Times New Roman" w:eastAsia="仿宋_GB2312"/>
          <w:sz w:val="32"/>
          <w:szCs w:val="32"/>
        </w:rPr>
        <w:t>5</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相关政策</w:t>
      </w:r>
      <w:r>
        <w:rPr>
          <w:rFonts w:ascii="Times New Roman" w:hAnsi="Times New Roman" w:eastAsia="仿宋_GB2312"/>
          <w:sz w:val="32"/>
          <w:szCs w:val="32"/>
        </w:rPr>
        <w:t>文件。</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15</w:t>
      </w:r>
      <w:r>
        <w:rPr>
          <w:rFonts w:hint="default" w:ascii="Times New Roman" w:hAnsi="Times New Roman" w:eastAsia="楷体_GB2312"/>
          <w:b/>
          <w:bCs/>
          <w:sz w:val="32"/>
          <w:szCs w:val="32"/>
        </w:rPr>
        <w:t>：</w:t>
      </w:r>
      <w:r>
        <w:rPr>
          <w:rFonts w:hint="eastAsia" w:ascii="Times New Roman" w:hAnsi="Times New Roman" w:eastAsia="仿宋_GB2312"/>
          <w:sz w:val="32"/>
          <w:szCs w:val="32"/>
        </w:rPr>
        <w:t>补贴资金管理办法制定情况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制定本省份农村客运补助资金（岛际和农村水路客运部分）管理办法，明确资金使用和管理政策的，得</w:t>
      </w:r>
      <w:r>
        <w:rPr>
          <w:rFonts w:ascii="Times New Roman" w:hAnsi="Times New Roman" w:eastAsia="仿宋_GB2312"/>
          <w:sz w:val="32"/>
          <w:szCs w:val="32"/>
        </w:rPr>
        <w:t>5</w:t>
      </w:r>
      <w:r>
        <w:rPr>
          <w:rFonts w:hint="eastAsia" w:ascii="Times New Roman" w:hAnsi="Times New Roman" w:eastAsia="仿宋_GB2312"/>
          <w:sz w:val="32"/>
          <w:szCs w:val="32"/>
        </w:rPr>
        <w:t>分；否则，不得分。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相关政策</w:t>
      </w:r>
      <w:r>
        <w:rPr>
          <w:rFonts w:ascii="Times New Roman" w:hAnsi="Times New Roman" w:eastAsia="仿宋_GB2312"/>
          <w:sz w:val="32"/>
          <w:szCs w:val="32"/>
        </w:rPr>
        <w:t>文件。</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16</w:t>
      </w:r>
      <w:r>
        <w:rPr>
          <w:rFonts w:hint="default" w:ascii="Times New Roman" w:hAnsi="Times New Roman" w:eastAsia="楷体_GB2312"/>
          <w:b/>
          <w:bCs/>
          <w:sz w:val="32"/>
          <w:szCs w:val="32"/>
        </w:rPr>
        <w:t>：</w:t>
      </w:r>
      <w:r>
        <w:rPr>
          <w:rFonts w:hint="eastAsia" w:ascii="Times New Roman" w:hAnsi="Times New Roman" w:eastAsia="仿宋_GB2312"/>
          <w:sz w:val="32"/>
          <w:szCs w:val="32"/>
        </w:rPr>
        <w:t>补助资金使用情况</w:t>
      </w:r>
      <w:r>
        <w:rPr>
          <w:rFonts w:ascii="Times New Roman" w:hAnsi="Times New Roman" w:eastAsia="仿宋_GB2312"/>
          <w:sz w:val="32"/>
          <w:szCs w:val="32"/>
        </w:rPr>
        <w:t>（5分）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将农村客运补助资金（岛际和农村水路客运部分）全部用于支持岛际和农村水路客运发展（包括客运码头（渡口）、船舶新改建和运营方面）的，得</w:t>
      </w:r>
      <w:r>
        <w:rPr>
          <w:rFonts w:ascii="Times New Roman" w:hAnsi="Times New Roman" w:eastAsia="仿宋_GB2312"/>
          <w:sz w:val="32"/>
          <w:szCs w:val="32"/>
        </w:rPr>
        <w:t>5</w:t>
      </w:r>
      <w:r>
        <w:rPr>
          <w:rFonts w:hint="eastAsia" w:ascii="Times New Roman" w:hAnsi="Times New Roman" w:eastAsia="仿宋_GB2312"/>
          <w:sz w:val="32"/>
          <w:szCs w:val="32"/>
        </w:rPr>
        <w:t>分；否则，根据用于支持岛际和农村水路客运发展的资金比例，按照内插法计算得分。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政策文件及相关佐证材料。</w:t>
      </w:r>
    </w:p>
    <w:p>
      <w:pPr>
        <w:adjustRightInd w:val="0"/>
        <w:snapToGrid w:val="0"/>
        <w:spacing w:line="600" w:lineRule="exact"/>
        <w:ind w:firstLine="643" w:firstLineChars="200"/>
        <w:outlineLvl w:val="2"/>
        <w:rPr>
          <w:rFonts w:ascii="Times New Roman" w:hAnsi="Times New Roman" w:eastAsia="仿宋_GB2312"/>
          <w:sz w:val="32"/>
          <w:szCs w:val="32"/>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rPr>
        <w:t>指标</w:t>
      </w:r>
      <w:r>
        <w:rPr>
          <w:rFonts w:ascii="Times New Roman" w:hAnsi="Times New Roman" w:eastAsia="楷体_GB2312"/>
          <w:b/>
          <w:bCs/>
          <w:sz w:val="32"/>
          <w:szCs w:val="32"/>
        </w:rPr>
        <w:t>17</w:t>
      </w:r>
      <w:r>
        <w:rPr>
          <w:rFonts w:hint="default" w:ascii="Times New Roman" w:hAnsi="Times New Roman" w:eastAsia="楷体_GB2312"/>
          <w:b/>
          <w:bCs/>
          <w:sz w:val="32"/>
          <w:szCs w:val="32"/>
        </w:rPr>
        <w:t>：</w:t>
      </w:r>
      <w:r>
        <w:rPr>
          <w:rFonts w:hint="eastAsia" w:ascii="Times New Roman" w:hAnsi="Times New Roman" w:eastAsia="仿宋_GB2312"/>
          <w:sz w:val="32"/>
          <w:szCs w:val="32"/>
        </w:rPr>
        <w:t>地方财政投入情况</w:t>
      </w:r>
      <w:r>
        <w:rPr>
          <w:rFonts w:ascii="Times New Roman" w:hAnsi="Times New Roman" w:eastAsia="仿宋_GB2312"/>
          <w:sz w:val="32"/>
          <w:szCs w:val="32"/>
        </w:rPr>
        <w:t>（</w:t>
      </w:r>
      <w:r>
        <w:rPr>
          <w:rFonts w:hint="eastAsia" w:ascii="Times New Roman" w:hAnsi="Times New Roman" w:eastAsia="仿宋_GB2312"/>
          <w:sz w:val="32"/>
          <w:szCs w:val="32"/>
        </w:rPr>
        <w:t>1</w:t>
      </w:r>
      <w:r>
        <w:rPr>
          <w:rFonts w:ascii="Times New Roman" w:hAnsi="Times New Roman" w:eastAsia="仿宋_GB2312"/>
          <w:sz w:val="32"/>
          <w:szCs w:val="32"/>
        </w:rPr>
        <w:t>0分）</w:t>
      </w:r>
    </w:p>
    <w:p>
      <w:pPr>
        <w:spacing w:line="600" w:lineRule="exact"/>
        <w:ind w:firstLine="640"/>
        <w:rPr>
          <w:rFonts w:ascii="Times New Roman" w:hAnsi="Times New Roman" w:eastAsia="仿宋_GB2312"/>
          <w:sz w:val="32"/>
          <w:szCs w:val="32"/>
        </w:rPr>
      </w:pPr>
      <w:r>
        <w:rPr>
          <w:rFonts w:hint="eastAsia" w:ascii="Times New Roman" w:hAnsi="Times New Roman" w:eastAsia="仿宋_GB2312"/>
          <w:sz w:val="32"/>
          <w:szCs w:val="32"/>
        </w:rPr>
        <w:t>除中央农村客运补助资金（岛际和农村水路客运部分）外，地方各级（包括省、市、县三级）财政给予岛际和农村水路客运发展补助、且不低于“十三五”期年平均规模的，得1</w:t>
      </w:r>
      <w:r>
        <w:rPr>
          <w:rFonts w:ascii="Times New Roman" w:hAnsi="Times New Roman" w:eastAsia="仿宋_GB2312"/>
          <w:sz w:val="32"/>
          <w:szCs w:val="32"/>
        </w:rPr>
        <w:t>0</w:t>
      </w:r>
      <w:r>
        <w:rPr>
          <w:rFonts w:hint="eastAsia" w:ascii="Times New Roman" w:hAnsi="Times New Roman" w:eastAsia="仿宋_GB2312"/>
          <w:sz w:val="32"/>
          <w:szCs w:val="32"/>
        </w:rPr>
        <w:t>分；补贴规模降低的，按照内插法计算得分；无补贴的，不得分。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数据来源：各省份</w:t>
      </w:r>
      <w:r>
        <w:rPr>
          <w:rFonts w:hint="eastAsia" w:ascii="Times New Roman" w:hAnsi="Times New Roman" w:eastAsia="仿宋_GB2312"/>
          <w:sz w:val="32"/>
          <w:szCs w:val="32"/>
        </w:rPr>
        <w:t>政策文件及相关佐证材料。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（六）加分项（满分</w:t>
      </w:r>
      <w:r>
        <w:rPr>
          <w:rFonts w:hint="default" w:ascii="Times New Roman" w:hAnsi="Times New Roman" w:eastAsia="楷体_GB2312"/>
          <w:b/>
          <w:bCs/>
          <w:sz w:val="32"/>
          <w:szCs w:val="30"/>
          <w:lang w:val="en"/>
        </w:rPr>
        <w:t>2</w:t>
      </w:r>
      <w:r>
        <w:rPr>
          <w:rFonts w:hint="default" w:ascii="Times New Roman" w:hAnsi="Times New Roman" w:eastAsia="楷体_GB2312"/>
          <w:b/>
          <w:bCs/>
          <w:sz w:val="32"/>
          <w:szCs w:val="30"/>
        </w:rPr>
        <w:t>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辖区范围内有20个以下国家乡村振兴重点帮扶县的省份，得1分；辖区范围内有20个及以上国家乡村振兴重点帮扶县，得2分。</w:t>
      </w:r>
    </w:p>
    <w:p>
      <w:pPr>
        <w:spacing w:line="600" w:lineRule="exact"/>
        <w:ind w:firstLine="640"/>
        <w:rPr>
          <w:rFonts w:hint="eastAsia" w:ascii="Times New Roman" w:hAnsi="Times New Roman" w:eastAsia="仿宋_GB2312"/>
          <w:sz w:val="32"/>
          <w:szCs w:val="32"/>
        </w:rPr>
      </w:pPr>
      <w:r>
        <w:rPr>
          <w:rFonts w:ascii="Times New Roman" w:hAnsi="Times New Roman" w:eastAsia="仿宋_GB2312"/>
          <w:sz w:val="32"/>
          <w:szCs w:val="32"/>
        </w:rPr>
        <w:t>数据来源：《中央农村工作领导小组办公室 国家乡村振兴局关于公布国家乡村振兴重点帮扶县名单的通知》。</w:t>
      </w:r>
    </w:p>
    <w:p>
      <w:pPr>
        <w:adjustRightInd w:val="0"/>
        <w:snapToGrid w:val="0"/>
        <w:spacing w:line="600" w:lineRule="exact"/>
        <w:ind w:firstLine="640" w:firstLineChars="200"/>
        <w:outlineLvl w:val="0"/>
        <w:rPr>
          <w:rFonts w:ascii="Times New Roman" w:hAnsi="Times New Roman" w:eastAsia="黑体"/>
          <w:sz w:val="32"/>
          <w:szCs w:val="32"/>
        </w:rPr>
      </w:pPr>
      <w:r>
        <w:rPr>
          <w:rFonts w:ascii="Times New Roman" w:hAnsi="Times New Roman" w:eastAsia="黑体"/>
          <w:sz w:val="32"/>
          <w:szCs w:val="32"/>
        </w:rPr>
        <w:t>三、城市交通发展考核指标（共计100分）。</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（一）公共服务领域车辆电动化推广情况（满分</w:t>
      </w:r>
      <w:r>
        <w:rPr>
          <w:rFonts w:ascii="Times New Roman" w:hAnsi="Times New Roman" w:eastAsia="楷体_GB2312"/>
          <w:b/>
          <w:bCs/>
          <w:sz w:val="32"/>
          <w:szCs w:val="30"/>
        </w:rPr>
        <w:t>40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新增或更新巡游出租汽车中新能源车辆比例（20分）</w:t>
      </w:r>
    </w:p>
    <w:p>
      <w:pPr>
        <w:spacing w:line="600" w:lineRule="exact"/>
        <w:ind w:firstLine="640"/>
        <w:rPr>
          <w:rFonts w:ascii="Times New Roman" w:hAnsi="Times New Roman" w:eastAsia="仿宋_GB2312"/>
          <w:sz w:val="32"/>
          <w:szCs w:val="32"/>
          <w:shd w:val="clear" w:color="auto" w:fill="FFFFFF"/>
        </w:rPr>
      </w:pPr>
      <w:r>
        <w:rPr>
          <w:rFonts w:ascii="Times New Roman" w:hAnsi="Times New Roman" w:eastAsia="仿宋_GB2312"/>
          <w:sz w:val="32"/>
          <w:szCs w:val="32"/>
          <w:shd w:val="clear" w:color="auto" w:fill="FFFFFF"/>
        </w:rPr>
        <w:t>新增或更新巡游出租汽车中新能源车辆比例达到</w:t>
      </w:r>
      <w:r>
        <w:rPr>
          <w:rFonts w:hint="eastAsia" w:ascii="Times New Roman" w:hAnsi="Times New Roman" w:eastAsia="仿宋_GB2312"/>
          <w:sz w:val="32"/>
          <w:szCs w:val="32"/>
          <w:shd w:val="clear" w:color="auto" w:fill="FFFFFF"/>
        </w:rPr>
        <w:t>35</w:t>
      </w:r>
      <w:r>
        <w:rPr>
          <w:rFonts w:ascii="Times New Roman" w:hAnsi="Times New Roman" w:eastAsia="仿宋_GB2312"/>
          <w:sz w:val="32"/>
          <w:szCs w:val="32"/>
          <w:shd w:val="clear" w:color="auto" w:fill="FFFFFF"/>
        </w:rPr>
        <w:t>%的，得20分</w:t>
      </w:r>
      <w:r>
        <w:rPr>
          <w:rFonts w:hint="eastAsia" w:ascii="Times New Roman" w:hAnsi="Times New Roman" w:eastAsia="仿宋_GB2312"/>
          <w:sz w:val="32"/>
          <w:szCs w:val="32"/>
          <w:shd w:val="clear" w:color="auto" w:fill="FFFFFF"/>
        </w:rPr>
        <w:t>；每降低</w:t>
      </w:r>
      <w:r>
        <w:rPr>
          <w:rFonts w:ascii="Times New Roman" w:hAnsi="Times New Roman" w:eastAsia="仿宋_GB2312"/>
          <w:sz w:val="32"/>
          <w:szCs w:val="32"/>
          <w:shd w:val="clear" w:color="auto" w:fill="FFFFFF"/>
        </w:rPr>
        <w:t>1%</w:t>
      </w:r>
      <w:r>
        <w:rPr>
          <w:rFonts w:hint="eastAsia" w:ascii="Times New Roman" w:hAnsi="Times New Roman" w:eastAsia="仿宋_GB2312"/>
          <w:sz w:val="32"/>
          <w:szCs w:val="32"/>
          <w:shd w:val="clear" w:color="auto" w:fill="FFFFFF"/>
        </w:rPr>
        <w:t>扣</w:t>
      </w:r>
      <w:r>
        <w:rPr>
          <w:rFonts w:ascii="Times New Roman" w:hAnsi="Times New Roman" w:eastAsia="仿宋_GB2312"/>
          <w:sz w:val="32"/>
          <w:szCs w:val="32"/>
          <w:shd w:val="clear" w:color="auto" w:fill="FFFFFF"/>
        </w:rPr>
        <w:t>1</w:t>
      </w:r>
      <w:r>
        <w:rPr>
          <w:rFonts w:hint="eastAsia" w:ascii="Times New Roman" w:hAnsi="Times New Roman" w:eastAsia="仿宋_GB2312"/>
          <w:sz w:val="32"/>
          <w:szCs w:val="32"/>
          <w:shd w:val="clear" w:color="auto" w:fill="FFFFFF"/>
        </w:rPr>
        <w:t>分，扣完为止。</w:t>
      </w:r>
    </w:p>
    <w:p>
      <w:pPr>
        <w:spacing w:line="600" w:lineRule="exact"/>
        <w:ind w:firstLine="640"/>
        <w:rPr>
          <w:rFonts w:ascii="Times New Roman" w:hAnsi="Times New Roman" w:eastAsia="仿宋_GB2312" w:cs="Times New Roman"/>
          <w:sz w:val="32"/>
          <w:szCs w:val="32"/>
          <w:shd w:val="clear" w:color="auto" w:fill="FFFFFF"/>
        </w:rPr>
      </w:pPr>
      <w:r>
        <w:rPr>
          <w:rFonts w:hint="default" w:ascii="Times New Roman" w:hAnsi="Times New Roman" w:eastAsia="仿宋_GB2312" w:cs="Times New Roman"/>
          <w:sz w:val="32"/>
          <w:szCs w:val="32"/>
          <w:shd w:val="clear" w:color="auto" w:fill="FFFFFF"/>
        </w:rPr>
        <w:t>数据来源：</w:t>
      </w:r>
      <w:bookmarkStart w:id="0" w:name="_Hlk101805597"/>
      <w:r>
        <w:rPr>
          <w:rFonts w:hint="default" w:ascii="Times New Roman" w:hAnsi="Times New Roman" w:eastAsia="仿宋_GB2312" w:cs="Times New Roman"/>
          <w:sz w:val="32"/>
          <w:szCs w:val="32"/>
          <w:shd w:val="clear" w:color="auto" w:fill="FFFFFF"/>
        </w:rPr>
        <w:t>各省份交通运输主管部门相关佐证材料。</w:t>
      </w:r>
      <w:bookmarkEnd w:id="0"/>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2</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新增或更新城市公交车辆中新能源车辆比例（20分）</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新增或更新城市公交车辆中新能源车辆比例达到75%的，得20分</w:t>
      </w:r>
      <w:r>
        <w:rPr>
          <w:rFonts w:hint="eastAsia" w:ascii="Times New Roman" w:hAnsi="Times New Roman" w:eastAsia="仿宋_GB2312"/>
          <w:sz w:val="32"/>
          <w:szCs w:val="32"/>
        </w:rPr>
        <w:t>；每降低</w:t>
      </w:r>
      <w:r>
        <w:rPr>
          <w:rFonts w:ascii="Times New Roman" w:hAnsi="Times New Roman" w:eastAsia="仿宋_GB2312"/>
          <w:sz w:val="32"/>
          <w:szCs w:val="32"/>
        </w:rPr>
        <w:t>1%</w:t>
      </w:r>
      <w:r>
        <w:rPr>
          <w:rFonts w:hint="eastAsia" w:ascii="Times New Roman" w:hAnsi="Times New Roman" w:eastAsia="仿宋_GB2312"/>
          <w:sz w:val="32"/>
          <w:szCs w:val="32"/>
        </w:rPr>
        <w:t>扣</w:t>
      </w:r>
      <w:r>
        <w:rPr>
          <w:rFonts w:ascii="Times New Roman" w:hAnsi="Times New Roman" w:eastAsia="仿宋_GB2312"/>
          <w:sz w:val="32"/>
          <w:szCs w:val="32"/>
        </w:rPr>
        <w:t>1</w:t>
      </w:r>
      <w:r>
        <w:rPr>
          <w:rFonts w:hint="eastAsia" w:ascii="Times New Roman" w:hAnsi="Times New Roman" w:eastAsia="仿宋_GB2312"/>
          <w:sz w:val="32"/>
          <w:szCs w:val="32"/>
        </w:rPr>
        <w:t>分，扣完为止。</w:t>
      </w:r>
    </w:p>
    <w:p>
      <w:pPr>
        <w:spacing w:line="600" w:lineRule="exact"/>
        <w:ind w:firstLine="640"/>
        <w:rPr>
          <w:rFonts w:ascii="Times New Roman" w:hAnsi="Times New Roman" w:eastAsia="仿宋_GB2312"/>
          <w:sz w:val="32"/>
          <w:szCs w:val="32"/>
        </w:rPr>
      </w:pPr>
      <w:r>
        <w:rPr>
          <w:rFonts w:hint="default" w:ascii="Times New Roman" w:hAnsi="Times New Roman" w:eastAsia="仿宋_GB2312" w:cs="Times New Roman"/>
          <w:sz w:val="32"/>
          <w:szCs w:val="32"/>
        </w:rPr>
        <w:t>数据来源：各</w:t>
      </w:r>
      <w:r>
        <w:rPr>
          <w:rFonts w:hint="default" w:ascii="Times New Roman" w:hAnsi="Times New Roman" w:eastAsia="仿宋_GB2312" w:cs="Times New Roman"/>
          <w:sz w:val="32"/>
          <w:szCs w:val="32"/>
          <w:lang w:eastAsia="zh-CN"/>
        </w:rPr>
        <w:t>省份</w:t>
      </w:r>
      <w:r>
        <w:rPr>
          <w:rFonts w:hint="default" w:ascii="Times New Roman" w:hAnsi="Times New Roman" w:eastAsia="仿宋_GB2312" w:cs="Times New Roman"/>
          <w:sz w:val="32"/>
          <w:szCs w:val="32"/>
        </w:rPr>
        <w:t>交通运输主管部门相关佐证材料。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（二）深化出租汽车行业改革组织领导情况（满分</w:t>
      </w:r>
      <w:r>
        <w:rPr>
          <w:rFonts w:ascii="Times New Roman" w:hAnsi="Times New Roman" w:eastAsia="楷体_GB2312"/>
          <w:b/>
          <w:bCs/>
          <w:sz w:val="32"/>
          <w:szCs w:val="30"/>
        </w:rPr>
        <w:t>10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3</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深化出租汽车行业改革组织领导情况</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已建立深化出租汽车行业改革或交通运输新业态协同监管的多部门联合工作机制的地级城市比例超过50%的（直辖市</w:t>
      </w:r>
      <w:r>
        <w:rPr>
          <w:rFonts w:ascii="Times New Roman" w:hAnsi="Times New Roman" w:eastAsia="仿宋"/>
          <w:kern w:val="0"/>
          <w:sz w:val="32"/>
          <w:szCs w:val="32"/>
          <w:shd w:val="clear" w:color="auto" w:fill="FFFFFF"/>
          <w:lang w:bidi="ar"/>
        </w:rPr>
        <w:t>、</w:t>
      </w:r>
      <w:r>
        <w:rPr>
          <w:rFonts w:ascii="Times New Roman" w:hAnsi="Times New Roman" w:eastAsia="仿宋_GB2312"/>
          <w:sz w:val="32"/>
          <w:szCs w:val="32"/>
        </w:rPr>
        <w:t>计划单列市已建立的），得10分</w:t>
      </w:r>
      <w:r>
        <w:rPr>
          <w:rFonts w:hint="eastAsia" w:ascii="Times New Roman" w:hAnsi="Times New Roman" w:eastAsia="仿宋_GB2312"/>
          <w:sz w:val="32"/>
          <w:szCs w:val="32"/>
        </w:rPr>
        <w:t>；</w:t>
      </w:r>
      <w:r>
        <w:rPr>
          <w:rFonts w:ascii="Times New Roman" w:hAnsi="Times New Roman" w:eastAsia="仿宋_GB2312"/>
          <w:sz w:val="32"/>
          <w:szCs w:val="32"/>
        </w:rPr>
        <w:t>低于50%的，按比例计算得分。</w:t>
      </w:r>
    </w:p>
    <w:p>
      <w:pPr>
        <w:spacing w:line="600" w:lineRule="exact"/>
        <w:ind w:firstLine="640"/>
        <w:rPr>
          <w:rFonts w:ascii="Times New Roman" w:hAnsi="Times New Roman" w:eastAsia="仿宋_GB2312"/>
          <w:sz w:val="32"/>
          <w:szCs w:val="32"/>
        </w:rPr>
      </w:pPr>
      <w:r>
        <w:rPr>
          <w:rFonts w:hint="default" w:ascii="Times New Roman" w:hAnsi="Times New Roman" w:eastAsia="仿宋_GB2312" w:cs="Times New Roman"/>
          <w:sz w:val="32"/>
          <w:szCs w:val="32"/>
        </w:rPr>
        <w:t>数据来源：各省份政策文件及相关佐证材料。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（三）出租汽车运价动态调整机制</w:t>
      </w:r>
      <w:r>
        <w:rPr>
          <w:rFonts w:ascii="Times New Roman" w:hAnsi="Times New Roman" w:eastAsia="楷体_GB2312"/>
          <w:b/>
          <w:bCs/>
          <w:sz w:val="32"/>
          <w:szCs w:val="30"/>
        </w:rPr>
        <w:t>建立</w:t>
      </w:r>
      <w:r>
        <w:rPr>
          <w:rFonts w:hint="default" w:ascii="Times New Roman" w:hAnsi="Times New Roman" w:eastAsia="楷体_GB2312"/>
          <w:b/>
          <w:bCs/>
          <w:sz w:val="32"/>
          <w:szCs w:val="30"/>
        </w:rPr>
        <w:t>情况（满分</w:t>
      </w:r>
      <w:r>
        <w:rPr>
          <w:rFonts w:ascii="Times New Roman" w:hAnsi="Times New Roman" w:eastAsia="楷体_GB2312"/>
          <w:b/>
          <w:bCs/>
          <w:sz w:val="32"/>
          <w:szCs w:val="30"/>
        </w:rPr>
        <w:t>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4</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出租汽车运价动态调整机制建立情况</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已实施巡游出租汽车运价政府指导价或动态调整机制的地级城市比例超过50%的（直辖市</w:t>
      </w:r>
      <w:r>
        <w:rPr>
          <w:rFonts w:ascii="Times New Roman" w:hAnsi="Times New Roman" w:eastAsia="仿宋"/>
          <w:kern w:val="0"/>
          <w:sz w:val="32"/>
          <w:szCs w:val="32"/>
          <w:shd w:val="clear" w:color="auto" w:fill="FFFFFF"/>
          <w:lang w:bidi="ar"/>
        </w:rPr>
        <w:t>、</w:t>
      </w:r>
      <w:r>
        <w:rPr>
          <w:rFonts w:ascii="Times New Roman" w:hAnsi="Times New Roman" w:eastAsia="仿宋_GB2312"/>
          <w:sz w:val="32"/>
          <w:szCs w:val="32"/>
        </w:rPr>
        <w:t>计划单列市已实施的），得</w:t>
      </w:r>
      <w:r>
        <w:rPr>
          <w:rFonts w:ascii="Times New Roman" w:hAnsi="Times New Roman" w:eastAsia="仿宋_GB2312"/>
          <w:sz w:val="32"/>
          <w:szCs w:val="32"/>
          <w:lang w:val="en"/>
        </w:rPr>
        <w:t>5</w:t>
      </w:r>
      <w:r>
        <w:rPr>
          <w:rFonts w:ascii="Times New Roman" w:hAnsi="Times New Roman" w:eastAsia="仿宋_GB2312"/>
          <w:sz w:val="32"/>
          <w:szCs w:val="32"/>
        </w:rPr>
        <w:t>分</w:t>
      </w:r>
      <w:r>
        <w:rPr>
          <w:rFonts w:hint="eastAsia" w:ascii="Times New Roman" w:hAnsi="Times New Roman" w:eastAsia="仿宋_GB2312"/>
          <w:sz w:val="32"/>
          <w:szCs w:val="32"/>
        </w:rPr>
        <w:t>；</w:t>
      </w:r>
      <w:r>
        <w:rPr>
          <w:rFonts w:ascii="Times New Roman" w:hAnsi="Times New Roman" w:eastAsia="仿宋_GB2312"/>
          <w:sz w:val="32"/>
          <w:szCs w:val="32"/>
        </w:rPr>
        <w:t>低于50%的，按比例计算得分。</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数据来源：各省份政策文件及相关佐证材料。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（四）出租汽车行业文明创建情况（满分</w:t>
      </w:r>
      <w:r>
        <w:rPr>
          <w:rFonts w:ascii="Times New Roman" w:hAnsi="Times New Roman" w:eastAsia="楷体_GB2312"/>
          <w:b/>
          <w:bCs/>
          <w:sz w:val="32"/>
          <w:szCs w:val="30"/>
        </w:rPr>
        <w:t>10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5</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出租汽车行业文明创建情况</w:t>
      </w:r>
      <w:r>
        <w:rPr>
          <w:rFonts w:hint="default" w:ascii="Times New Roman" w:hAnsi="Times New Roman" w:eastAsia="楷体_GB2312"/>
          <w:sz w:val="32"/>
          <w:szCs w:val="32"/>
          <w:lang w:val="en"/>
        </w:rPr>
        <w:t>（5分）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省级层面组织开展出租汽车行业文明创建活动或优秀典型推选宣传活动</w:t>
      </w:r>
      <w:r>
        <w:rPr>
          <w:rFonts w:hint="eastAsia" w:ascii="Times New Roman" w:hAnsi="Times New Roman" w:eastAsia="仿宋_GB2312"/>
          <w:sz w:val="32"/>
          <w:szCs w:val="32"/>
        </w:rPr>
        <w:t>并建立和落实奖励机制</w:t>
      </w:r>
      <w:r>
        <w:rPr>
          <w:rFonts w:ascii="Times New Roman" w:hAnsi="Times New Roman" w:eastAsia="仿宋_GB2312"/>
          <w:sz w:val="32"/>
          <w:szCs w:val="32"/>
        </w:rPr>
        <w:t>的，得</w:t>
      </w:r>
      <w:r>
        <w:rPr>
          <w:rFonts w:ascii="Times New Roman" w:hAnsi="Times New Roman" w:eastAsia="仿宋_GB2312"/>
          <w:sz w:val="32"/>
          <w:szCs w:val="32"/>
          <w:lang w:val="en"/>
        </w:rPr>
        <w:t>5</w:t>
      </w:r>
      <w:r>
        <w:rPr>
          <w:rFonts w:ascii="Times New Roman" w:hAnsi="Times New Roman" w:eastAsia="仿宋_GB2312"/>
          <w:sz w:val="32"/>
          <w:szCs w:val="32"/>
        </w:rPr>
        <w:t>分</w:t>
      </w:r>
      <w:r>
        <w:rPr>
          <w:rFonts w:hint="eastAsia" w:ascii="Times New Roman" w:hAnsi="Times New Roman" w:eastAsia="仿宋_GB2312"/>
          <w:sz w:val="32"/>
          <w:szCs w:val="32"/>
        </w:rPr>
        <w:t>；否则，不得分。</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数据来源：各省份政策文件及相关佐证材料。</w:t>
      </w:r>
    </w:p>
    <w:p>
      <w:pPr>
        <w:adjustRightInd w:val="0"/>
        <w:snapToGrid w:val="0"/>
        <w:spacing w:line="600" w:lineRule="exact"/>
        <w:ind w:firstLine="643" w:firstLineChars="200"/>
        <w:outlineLvl w:val="2"/>
        <w:rPr>
          <w:rFonts w:ascii="Times New Roman" w:hAnsi="Times New Roman" w:eastAsia="楷体_GB2312"/>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6</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95128约车服务电话推广</w:t>
      </w:r>
      <w:r>
        <w:rPr>
          <w:rFonts w:hint="default" w:ascii="Times New Roman" w:hAnsi="Times New Roman" w:eastAsia="楷体_GB2312"/>
          <w:sz w:val="32"/>
          <w:szCs w:val="32"/>
          <w:lang w:val="en"/>
        </w:rPr>
        <w:t>应用情况（5分）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便利老年人打车出行，95128约车服务电话号码推广应用地级城市超过60%的（直辖市</w:t>
      </w:r>
      <w:r>
        <w:rPr>
          <w:rFonts w:ascii="Times New Roman" w:hAnsi="Times New Roman" w:eastAsia="仿宋"/>
          <w:kern w:val="0"/>
          <w:sz w:val="32"/>
          <w:szCs w:val="32"/>
          <w:shd w:val="clear" w:color="auto" w:fill="FFFFFF"/>
          <w:lang w:bidi="ar"/>
        </w:rPr>
        <w:t>、</w:t>
      </w:r>
      <w:r>
        <w:rPr>
          <w:rFonts w:ascii="Times New Roman" w:hAnsi="Times New Roman" w:eastAsia="仿宋_GB2312"/>
          <w:sz w:val="32"/>
          <w:szCs w:val="32"/>
        </w:rPr>
        <w:t>计划单列市已应用的），得</w:t>
      </w:r>
      <w:r>
        <w:rPr>
          <w:rFonts w:ascii="Times New Roman" w:hAnsi="Times New Roman" w:eastAsia="仿宋_GB2312"/>
          <w:sz w:val="32"/>
          <w:szCs w:val="32"/>
          <w:lang w:val="en"/>
        </w:rPr>
        <w:t>5</w:t>
      </w:r>
      <w:r>
        <w:rPr>
          <w:rFonts w:ascii="Times New Roman" w:hAnsi="Times New Roman" w:eastAsia="仿宋_GB2312"/>
          <w:sz w:val="32"/>
          <w:szCs w:val="32"/>
        </w:rPr>
        <w:t>分</w:t>
      </w:r>
      <w:r>
        <w:rPr>
          <w:rFonts w:hint="eastAsia" w:ascii="Times New Roman" w:hAnsi="Times New Roman" w:eastAsia="仿宋_GB2312"/>
          <w:sz w:val="32"/>
          <w:szCs w:val="32"/>
        </w:rPr>
        <w:t>；</w:t>
      </w:r>
      <w:r>
        <w:rPr>
          <w:rFonts w:ascii="Times New Roman" w:hAnsi="Times New Roman" w:eastAsia="仿宋_GB2312"/>
          <w:sz w:val="32"/>
          <w:szCs w:val="32"/>
        </w:rPr>
        <w:t>低于60%的，按比例计算得分。</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（五）出租汽车行业监管能力建设情况（满分</w:t>
      </w:r>
      <w:r>
        <w:rPr>
          <w:rFonts w:ascii="Times New Roman" w:hAnsi="Times New Roman" w:eastAsia="楷体_GB2312"/>
          <w:b/>
          <w:bCs/>
          <w:sz w:val="32"/>
          <w:szCs w:val="30"/>
        </w:rPr>
        <w:t>10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7</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行业运营数据</w:t>
      </w:r>
      <w:r>
        <w:rPr>
          <w:rFonts w:hint="default" w:ascii="Times New Roman" w:hAnsi="Times New Roman" w:eastAsia="楷体_GB2312"/>
          <w:sz w:val="32"/>
          <w:szCs w:val="32"/>
          <w:lang w:val="en"/>
        </w:rPr>
        <w:t>归集及监管情况（5分）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通过信息化手段归集出租汽车行业运营数据，并开展监管或执法的地级城市比例超过80%的（直辖市</w:t>
      </w:r>
      <w:r>
        <w:rPr>
          <w:rFonts w:ascii="Times New Roman" w:hAnsi="Times New Roman" w:eastAsia="仿宋"/>
          <w:kern w:val="0"/>
          <w:sz w:val="32"/>
          <w:szCs w:val="32"/>
          <w:shd w:val="clear" w:color="auto" w:fill="FFFFFF"/>
          <w:lang w:bidi="ar"/>
        </w:rPr>
        <w:t>、</w:t>
      </w:r>
      <w:r>
        <w:rPr>
          <w:rFonts w:ascii="Times New Roman" w:hAnsi="Times New Roman" w:eastAsia="仿宋_GB2312"/>
          <w:sz w:val="32"/>
          <w:szCs w:val="32"/>
        </w:rPr>
        <w:t>计划单列市已开展的），得5分</w:t>
      </w:r>
      <w:r>
        <w:rPr>
          <w:rFonts w:hint="eastAsia" w:ascii="Times New Roman" w:hAnsi="Times New Roman" w:eastAsia="仿宋_GB2312"/>
          <w:sz w:val="32"/>
          <w:szCs w:val="32"/>
        </w:rPr>
        <w:t>；</w:t>
      </w:r>
      <w:r>
        <w:rPr>
          <w:rFonts w:ascii="Times New Roman" w:hAnsi="Times New Roman" w:eastAsia="仿宋_GB2312"/>
          <w:sz w:val="32"/>
          <w:szCs w:val="32"/>
        </w:rPr>
        <w:t>低于80%的，按比例计算得分。</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数据来源：各省份相关佐证材料。</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8</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服务质量信誉考核</w:t>
      </w:r>
      <w:r>
        <w:rPr>
          <w:rFonts w:hint="default" w:ascii="Times New Roman" w:hAnsi="Times New Roman" w:eastAsia="楷体_GB2312"/>
          <w:sz w:val="32"/>
          <w:szCs w:val="32"/>
          <w:lang w:val="en"/>
        </w:rPr>
        <w:t>情况（2.5分）</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省级层面</w:t>
      </w:r>
      <w:r>
        <w:rPr>
          <w:rFonts w:ascii="Times New Roman" w:hAnsi="Times New Roman" w:eastAsia="仿宋_GB2312"/>
          <w:sz w:val="32"/>
          <w:szCs w:val="32"/>
        </w:rPr>
        <w:t>组织开展出租汽车服务质量信誉考核的，得2.5分</w:t>
      </w:r>
      <w:r>
        <w:rPr>
          <w:rFonts w:hint="eastAsia" w:ascii="Times New Roman" w:hAnsi="Times New Roman" w:eastAsia="仿宋_GB2312"/>
          <w:sz w:val="32"/>
          <w:szCs w:val="32"/>
        </w:rPr>
        <w:t>；否则，不得分。</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数据来源：各省份政策文件及相关佐证材料。</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9</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行业信用监管情况（2.5分）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将出租汽车纳入本地信用体系实施监管的地级城市比例超过80% ( 直辖市</w:t>
      </w:r>
      <w:r>
        <w:rPr>
          <w:rFonts w:ascii="Times New Roman" w:hAnsi="Times New Roman" w:eastAsia="仿宋"/>
          <w:kern w:val="0"/>
          <w:sz w:val="32"/>
          <w:szCs w:val="32"/>
          <w:shd w:val="clear" w:color="auto" w:fill="FFFFFF"/>
          <w:lang w:bidi="ar"/>
        </w:rPr>
        <w:t>、</w:t>
      </w:r>
      <w:r>
        <w:rPr>
          <w:rFonts w:ascii="Times New Roman" w:hAnsi="Times New Roman" w:eastAsia="仿宋_GB2312"/>
          <w:sz w:val="32"/>
          <w:szCs w:val="32"/>
        </w:rPr>
        <w:t>计划单列市已开展的)的，得2.5分</w:t>
      </w:r>
      <w:r>
        <w:rPr>
          <w:rFonts w:hint="eastAsia" w:ascii="Times New Roman" w:hAnsi="Times New Roman" w:eastAsia="仿宋_GB2312"/>
          <w:sz w:val="32"/>
          <w:szCs w:val="32"/>
        </w:rPr>
        <w:t>；</w:t>
      </w:r>
      <w:r>
        <w:rPr>
          <w:rFonts w:ascii="Times New Roman" w:hAnsi="Times New Roman" w:eastAsia="仿宋_GB2312"/>
          <w:sz w:val="32"/>
          <w:szCs w:val="32"/>
        </w:rPr>
        <w:t>低于80%的，按比例计算得分。</w:t>
      </w:r>
    </w:p>
    <w:p>
      <w:pPr>
        <w:spacing w:line="600" w:lineRule="exact"/>
        <w:ind w:firstLine="640" w:firstLineChars="200"/>
        <w:rPr>
          <w:rFonts w:ascii="Times New Roman" w:hAnsi="Times New Roman" w:eastAsia="仿宋_GB2312"/>
          <w:sz w:val="32"/>
          <w:szCs w:val="32"/>
        </w:rPr>
      </w:pPr>
      <w:r>
        <w:rPr>
          <w:rFonts w:hint="default" w:ascii="Times New Roman" w:hAnsi="Times New Roman" w:eastAsia="仿宋_GB2312" w:cs="Times New Roman"/>
          <w:sz w:val="32"/>
          <w:szCs w:val="32"/>
        </w:rPr>
        <w:t>数据来源：各省份政策文件及相关佐证材料。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（六）出租汽车行业稳定情况（满分</w:t>
      </w:r>
      <w:r>
        <w:rPr>
          <w:rFonts w:ascii="Times New Roman" w:hAnsi="Times New Roman" w:eastAsia="楷体_GB2312"/>
          <w:b/>
          <w:bCs/>
          <w:sz w:val="32"/>
          <w:szCs w:val="30"/>
        </w:rPr>
        <w:t>10</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10</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行业稳定情况（6分）</w:t>
      </w:r>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未</w:t>
      </w:r>
      <w:r>
        <w:rPr>
          <w:rFonts w:ascii="Times New Roman" w:hAnsi="Times New Roman" w:eastAsia="仿宋_GB2312"/>
          <w:sz w:val="32"/>
          <w:szCs w:val="32"/>
        </w:rPr>
        <w:t>出现大规模的停运罢运和极端冲突事件、大规模司机聚集上访</w:t>
      </w:r>
      <w:r>
        <w:rPr>
          <w:rFonts w:ascii="Times New Roman" w:hAnsi="Times New Roman" w:eastAsia="仿宋_GB2312"/>
          <w:color w:val="000000"/>
          <w:sz w:val="32"/>
          <w:szCs w:val="32"/>
        </w:rPr>
        <w:t>事件、进京上访</w:t>
      </w:r>
      <w:r>
        <w:rPr>
          <w:rFonts w:hint="eastAsia" w:ascii="Times New Roman" w:hAnsi="Times New Roman" w:eastAsia="仿宋_GB2312"/>
          <w:color w:val="000000"/>
          <w:sz w:val="32"/>
          <w:szCs w:val="32"/>
        </w:rPr>
        <w:t>闹访</w:t>
      </w:r>
      <w:r>
        <w:rPr>
          <w:rFonts w:ascii="Times New Roman" w:hAnsi="Times New Roman" w:eastAsia="仿宋_GB2312"/>
          <w:color w:val="000000"/>
          <w:sz w:val="32"/>
          <w:szCs w:val="32"/>
        </w:rPr>
        <w:t>事件、网上大规模传谣的恶性事件等不稳定</w:t>
      </w:r>
      <w:r>
        <w:rPr>
          <w:rFonts w:hint="eastAsia" w:ascii="Times New Roman" w:hAnsi="Times New Roman" w:eastAsia="仿宋_GB2312"/>
          <w:color w:val="000000"/>
          <w:sz w:val="32"/>
          <w:szCs w:val="32"/>
          <w:lang w:eastAsia="zh-CN"/>
        </w:rPr>
        <w:t>情况</w:t>
      </w:r>
      <w:r>
        <w:rPr>
          <w:rFonts w:hint="eastAsia" w:ascii="Times New Roman" w:hAnsi="Times New Roman" w:eastAsia="仿宋_GB2312"/>
          <w:color w:val="000000"/>
          <w:sz w:val="32"/>
          <w:szCs w:val="32"/>
        </w:rPr>
        <w:t>的</w:t>
      </w:r>
      <w:r>
        <w:rPr>
          <w:rFonts w:ascii="Times New Roman" w:hAnsi="Times New Roman" w:eastAsia="仿宋_GB2312"/>
          <w:color w:val="000000"/>
          <w:sz w:val="32"/>
          <w:szCs w:val="32"/>
        </w:rPr>
        <w:t>，</w:t>
      </w:r>
      <w:r>
        <w:rPr>
          <w:rFonts w:hint="eastAsia" w:ascii="Times New Roman" w:hAnsi="Times New Roman" w:eastAsia="仿宋_GB2312"/>
          <w:sz w:val="32"/>
          <w:szCs w:val="32"/>
        </w:rPr>
        <w:t>得6分；</w:t>
      </w:r>
      <w:r>
        <w:rPr>
          <w:rFonts w:ascii="Times New Roman" w:hAnsi="Times New Roman" w:eastAsia="仿宋_GB2312"/>
          <w:sz w:val="32"/>
          <w:szCs w:val="32"/>
        </w:rPr>
        <w:t>每发生一次扣</w:t>
      </w:r>
      <w:r>
        <w:rPr>
          <w:rFonts w:ascii="Times New Roman" w:hAnsi="Times New Roman" w:eastAsia="仿宋_GB2312"/>
          <w:sz w:val="32"/>
          <w:szCs w:val="32"/>
          <w:lang w:val="en"/>
        </w:rPr>
        <w:t>0.5</w:t>
      </w:r>
      <w:r>
        <w:rPr>
          <w:rFonts w:ascii="Times New Roman" w:hAnsi="Times New Roman" w:eastAsia="仿宋_GB2312"/>
          <w:sz w:val="32"/>
          <w:szCs w:val="32"/>
        </w:rPr>
        <w:t>分</w:t>
      </w:r>
      <w:r>
        <w:rPr>
          <w:rFonts w:hint="eastAsia" w:ascii="Times New Roman" w:hAnsi="Times New Roman" w:eastAsia="仿宋_GB2312"/>
          <w:sz w:val="32"/>
          <w:szCs w:val="32"/>
        </w:rPr>
        <w:t>，扣完为止。</w:t>
      </w:r>
    </w:p>
    <w:p>
      <w:pPr>
        <w:spacing w:line="600" w:lineRule="exact"/>
        <w:ind w:firstLine="640"/>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数据来源：各省份相关佐证材料及行业监测相关材料。</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11</w:t>
      </w:r>
      <w:r>
        <w:rPr>
          <w:rFonts w:hint="default" w:ascii="Times New Roman" w:hAnsi="Times New Roman" w:eastAsia="楷体_GB2312"/>
          <w:b/>
          <w:bCs/>
          <w:sz w:val="32"/>
          <w:szCs w:val="32"/>
          <w:lang w:val="en"/>
        </w:rPr>
        <w:t>：</w:t>
      </w:r>
      <w:r>
        <w:rPr>
          <w:rFonts w:ascii="Times New Roman" w:hAnsi="Times New Roman" w:eastAsia="楷体_GB2312"/>
          <w:sz w:val="32"/>
          <w:szCs w:val="32"/>
          <w:lang w:val="en"/>
        </w:rPr>
        <w:t>行业稳定信息报送制度</w:t>
      </w:r>
      <w:r>
        <w:rPr>
          <w:rFonts w:hint="default" w:ascii="Times New Roman" w:hAnsi="Times New Roman" w:eastAsia="楷体_GB2312"/>
          <w:sz w:val="32"/>
          <w:szCs w:val="32"/>
          <w:lang w:val="en"/>
        </w:rPr>
        <w:t>落实情况（4分）</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落实行业稳定信息报送制度，</w:t>
      </w:r>
      <w:r>
        <w:rPr>
          <w:rFonts w:hint="eastAsia" w:ascii="Times New Roman" w:hAnsi="Times New Roman" w:eastAsia="仿宋_GB2312"/>
          <w:sz w:val="32"/>
          <w:szCs w:val="32"/>
        </w:rPr>
        <w:t>不</w:t>
      </w:r>
      <w:r>
        <w:rPr>
          <w:rFonts w:ascii="Times New Roman" w:hAnsi="Times New Roman" w:eastAsia="仿宋_GB2312"/>
          <w:sz w:val="32"/>
          <w:szCs w:val="32"/>
        </w:rPr>
        <w:t>存在瞒报、</w:t>
      </w:r>
      <w:r>
        <w:rPr>
          <w:rFonts w:hint="eastAsia" w:ascii="Times New Roman" w:hAnsi="Times New Roman" w:eastAsia="仿宋_GB2312"/>
          <w:sz w:val="32"/>
          <w:szCs w:val="32"/>
        </w:rPr>
        <w:t>谎报、</w:t>
      </w:r>
      <w:r>
        <w:rPr>
          <w:rFonts w:ascii="Times New Roman" w:hAnsi="Times New Roman" w:eastAsia="仿宋_GB2312"/>
          <w:sz w:val="32"/>
          <w:szCs w:val="32"/>
        </w:rPr>
        <w:t>迟报</w:t>
      </w:r>
      <w:r>
        <w:rPr>
          <w:rFonts w:hint="eastAsia" w:ascii="Times New Roman" w:hAnsi="Times New Roman" w:eastAsia="仿宋_GB2312"/>
          <w:sz w:val="32"/>
          <w:szCs w:val="32"/>
        </w:rPr>
        <w:t>、</w:t>
      </w:r>
      <w:r>
        <w:rPr>
          <w:rFonts w:ascii="Times New Roman" w:hAnsi="Times New Roman" w:eastAsia="仿宋_GB2312"/>
          <w:sz w:val="32"/>
          <w:szCs w:val="32"/>
        </w:rPr>
        <w:t>漏报等现象</w:t>
      </w:r>
      <w:r>
        <w:rPr>
          <w:rFonts w:hint="eastAsia" w:ascii="Times New Roman" w:hAnsi="Times New Roman" w:eastAsia="仿宋_GB2312"/>
          <w:sz w:val="32"/>
          <w:szCs w:val="32"/>
        </w:rPr>
        <w:t>的</w:t>
      </w:r>
      <w:r>
        <w:rPr>
          <w:rFonts w:ascii="Times New Roman" w:hAnsi="Times New Roman" w:eastAsia="仿宋_GB2312"/>
          <w:sz w:val="32"/>
          <w:szCs w:val="32"/>
        </w:rPr>
        <w:t>，</w:t>
      </w:r>
      <w:r>
        <w:rPr>
          <w:rFonts w:hint="eastAsia" w:ascii="Times New Roman" w:hAnsi="Times New Roman" w:eastAsia="仿宋_GB2312"/>
          <w:sz w:val="32"/>
          <w:szCs w:val="32"/>
        </w:rPr>
        <w:t>得4分；</w:t>
      </w:r>
      <w:r>
        <w:rPr>
          <w:rFonts w:ascii="Times New Roman" w:hAnsi="Times New Roman" w:eastAsia="仿宋_GB2312"/>
          <w:sz w:val="32"/>
          <w:szCs w:val="32"/>
        </w:rPr>
        <w:t>每出现一次扣</w:t>
      </w:r>
      <w:r>
        <w:rPr>
          <w:rFonts w:ascii="Times New Roman" w:hAnsi="Times New Roman" w:eastAsia="仿宋_GB2312"/>
          <w:sz w:val="32"/>
          <w:szCs w:val="32"/>
          <w:lang w:val="en"/>
        </w:rPr>
        <w:t>1</w:t>
      </w:r>
      <w:r>
        <w:rPr>
          <w:rFonts w:ascii="Times New Roman" w:hAnsi="Times New Roman" w:eastAsia="仿宋_GB2312"/>
          <w:sz w:val="32"/>
          <w:szCs w:val="32"/>
        </w:rPr>
        <w:t>分</w:t>
      </w:r>
      <w:r>
        <w:rPr>
          <w:rFonts w:hint="eastAsia" w:ascii="Times New Roman" w:hAnsi="Times New Roman" w:eastAsia="仿宋_GB2312"/>
          <w:sz w:val="32"/>
          <w:szCs w:val="32"/>
        </w:rPr>
        <w:t>，扣完为止</w:t>
      </w:r>
      <w:r>
        <w:rPr>
          <w:rFonts w:ascii="Times New Roman" w:hAnsi="Times New Roman" w:eastAsia="仿宋_GB2312"/>
          <w:sz w:val="32"/>
          <w:szCs w:val="32"/>
        </w:rPr>
        <w:t>。</w:t>
      </w:r>
    </w:p>
    <w:p>
      <w:pPr>
        <w:spacing w:line="600" w:lineRule="exact"/>
        <w:ind w:firstLine="640" w:firstLineChars="200"/>
        <w:rPr>
          <w:rFonts w:ascii="Times New Roman" w:hAnsi="Times New Roman" w:eastAsia="仿宋_GB2312"/>
          <w:sz w:val="32"/>
          <w:szCs w:val="32"/>
        </w:rPr>
      </w:pPr>
      <w:r>
        <w:rPr>
          <w:rFonts w:hint="default" w:ascii="Times New Roman" w:hAnsi="Times New Roman" w:eastAsia="仿宋_GB2312" w:cs="Times New Roman"/>
          <w:sz w:val="32"/>
          <w:szCs w:val="32"/>
        </w:rPr>
        <w:t>数据来源：各省份相关佐证材料及行业监测相关材料。</w:t>
      </w:r>
    </w:p>
    <w:p>
      <w:pPr>
        <w:adjustRightInd w:val="0"/>
        <w:snapToGrid w:val="0"/>
        <w:spacing w:line="600" w:lineRule="exact"/>
        <w:ind w:firstLine="643" w:firstLineChars="200"/>
        <w:outlineLvl w:val="0"/>
        <w:rPr>
          <w:rFonts w:ascii="Times New Roman" w:hAnsi="Times New Roman" w:eastAsia="楷体_GB2312"/>
          <w:b/>
          <w:bCs/>
          <w:sz w:val="32"/>
          <w:szCs w:val="30"/>
        </w:rPr>
      </w:pPr>
      <w:r>
        <w:rPr>
          <w:rFonts w:hint="default" w:ascii="Times New Roman" w:hAnsi="Times New Roman" w:eastAsia="楷体_GB2312"/>
          <w:b/>
          <w:bCs/>
          <w:sz w:val="32"/>
          <w:szCs w:val="30"/>
        </w:rPr>
        <w:t>（七）省级层面给予城市公共交通发展政策资金支持情况（满分</w:t>
      </w:r>
      <w:r>
        <w:rPr>
          <w:rFonts w:ascii="Times New Roman" w:hAnsi="Times New Roman" w:eastAsia="楷体_GB2312"/>
          <w:b/>
          <w:bCs/>
          <w:sz w:val="32"/>
          <w:szCs w:val="30"/>
        </w:rPr>
        <w:t>15</w:t>
      </w:r>
      <w:r>
        <w:rPr>
          <w:rFonts w:hint="default" w:ascii="Times New Roman" w:hAnsi="Times New Roman" w:eastAsia="楷体_GB2312"/>
          <w:b/>
          <w:bCs/>
          <w:sz w:val="32"/>
          <w:szCs w:val="30"/>
        </w:rPr>
        <w:t>分）。</w:t>
      </w:r>
    </w:p>
    <w:p>
      <w:pPr>
        <w:adjustRightInd w:val="0"/>
        <w:snapToGrid w:val="0"/>
        <w:spacing w:line="600" w:lineRule="exact"/>
        <w:ind w:firstLine="643" w:firstLineChars="200"/>
        <w:outlineLvl w:val="2"/>
        <w:rPr>
          <w:rFonts w:ascii="Times New Roman" w:hAnsi="Times New Roman" w:eastAsia="楷体_GB2312"/>
          <w:b/>
          <w:bCs/>
          <w:sz w:val="32"/>
          <w:szCs w:val="32"/>
          <w:lang w:val="en"/>
        </w:rPr>
      </w:pPr>
      <w:r>
        <w:rPr>
          <w:rFonts w:ascii="Times New Roman" w:hAnsi="Times New Roman" w:eastAsia="楷体_GB2312"/>
          <w:b/>
          <w:bCs/>
          <w:sz w:val="32"/>
          <w:szCs w:val="32"/>
          <w:lang w:val="en"/>
        </w:rPr>
        <w:t>考核</w:t>
      </w:r>
      <w:r>
        <w:rPr>
          <w:rFonts w:hint="default" w:ascii="Times New Roman" w:hAnsi="Times New Roman" w:eastAsia="楷体_GB2312"/>
          <w:b/>
          <w:bCs/>
          <w:sz w:val="32"/>
          <w:szCs w:val="32"/>
          <w:lang w:val="en"/>
        </w:rPr>
        <w:t>指标</w:t>
      </w:r>
      <w:r>
        <w:rPr>
          <w:rFonts w:ascii="Times New Roman" w:hAnsi="Times New Roman" w:eastAsia="楷体_GB2312"/>
          <w:b/>
          <w:bCs/>
          <w:sz w:val="32"/>
          <w:szCs w:val="32"/>
          <w:lang w:val="en"/>
        </w:rPr>
        <w:t>12</w:t>
      </w:r>
      <w:r>
        <w:rPr>
          <w:rFonts w:hint="default" w:ascii="Times New Roman" w:hAnsi="Times New Roman" w:eastAsia="楷体_GB2312"/>
          <w:b/>
          <w:bCs/>
          <w:sz w:val="32"/>
          <w:szCs w:val="32"/>
          <w:lang w:val="en"/>
        </w:rPr>
        <w:t>：</w:t>
      </w:r>
      <w:r>
        <w:rPr>
          <w:rFonts w:hint="default" w:ascii="Times New Roman" w:hAnsi="Times New Roman" w:eastAsia="楷体_GB2312"/>
          <w:sz w:val="32"/>
          <w:szCs w:val="32"/>
          <w:lang w:val="en"/>
        </w:rPr>
        <w:t>城市公共交通发展政策资金支持情况</w:t>
      </w:r>
    </w:p>
    <w:p>
      <w:pPr>
        <w:spacing w:line="600" w:lineRule="exact"/>
        <w:ind w:firstLine="640"/>
        <w:rPr>
          <w:rFonts w:ascii="Times New Roman" w:hAnsi="Times New Roman" w:eastAsia="仿宋_GB2312"/>
          <w:sz w:val="32"/>
          <w:szCs w:val="32"/>
        </w:rPr>
      </w:pPr>
      <w:r>
        <w:rPr>
          <w:rFonts w:ascii="Times New Roman" w:hAnsi="Times New Roman" w:eastAsia="仿宋_GB2312"/>
          <w:sz w:val="32"/>
          <w:szCs w:val="32"/>
        </w:rPr>
        <w:t>省级层面给予城市公共交通发展政策和资金</w:t>
      </w:r>
      <w:r>
        <w:rPr>
          <w:rFonts w:hint="eastAsia" w:ascii="Times New Roman" w:hAnsi="Times New Roman" w:eastAsia="仿宋_GB2312"/>
          <w:sz w:val="32"/>
          <w:szCs w:val="32"/>
        </w:rPr>
        <w:t>（除中央城市交通发展奖励资金外）</w:t>
      </w:r>
      <w:r>
        <w:rPr>
          <w:rFonts w:ascii="Times New Roman" w:hAnsi="Times New Roman" w:eastAsia="仿宋_GB2312"/>
          <w:sz w:val="32"/>
          <w:szCs w:val="32"/>
        </w:rPr>
        <w:t>支持的，得1</w:t>
      </w:r>
      <w:r>
        <w:rPr>
          <w:rFonts w:ascii="Times New Roman" w:hAnsi="Times New Roman" w:eastAsia="仿宋_GB2312"/>
          <w:sz w:val="32"/>
          <w:szCs w:val="32"/>
          <w:lang w:val="en"/>
        </w:rPr>
        <w:t>5</w:t>
      </w:r>
      <w:r>
        <w:rPr>
          <w:rFonts w:ascii="Times New Roman" w:hAnsi="Times New Roman" w:eastAsia="仿宋_GB2312"/>
          <w:sz w:val="32"/>
          <w:szCs w:val="32"/>
        </w:rPr>
        <w:t>分</w:t>
      </w:r>
      <w:r>
        <w:rPr>
          <w:rFonts w:hint="eastAsia" w:ascii="Times New Roman" w:hAnsi="Times New Roman" w:eastAsia="仿宋_GB2312"/>
          <w:sz w:val="32"/>
          <w:szCs w:val="32"/>
        </w:rPr>
        <w:t>；</w:t>
      </w:r>
      <w:r>
        <w:rPr>
          <w:rFonts w:ascii="Times New Roman" w:hAnsi="Times New Roman" w:eastAsia="仿宋_GB2312"/>
          <w:sz w:val="32"/>
          <w:szCs w:val="32"/>
        </w:rPr>
        <w:t>仅给予政策支持</w:t>
      </w:r>
      <w:r>
        <w:rPr>
          <w:rFonts w:hint="eastAsia" w:ascii="Times New Roman" w:hAnsi="Times New Roman" w:eastAsia="仿宋_GB2312"/>
          <w:sz w:val="32"/>
          <w:szCs w:val="32"/>
        </w:rPr>
        <w:t>或</w:t>
      </w:r>
      <w:r>
        <w:rPr>
          <w:rFonts w:ascii="Times New Roman" w:hAnsi="Times New Roman" w:eastAsia="仿宋_GB2312"/>
          <w:sz w:val="32"/>
          <w:szCs w:val="32"/>
        </w:rPr>
        <w:t>仅给予资金支持的，得</w:t>
      </w:r>
      <w:r>
        <w:rPr>
          <w:rFonts w:ascii="Times New Roman" w:hAnsi="Times New Roman" w:eastAsia="仿宋_GB2312"/>
          <w:sz w:val="32"/>
          <w:szCs w:val="32"/>
          <w:lang w:val="en"/>
        </w:rPr>
        <w:t>7.</w:t>
      </w:r>
      <w:r>
        <w:rPr>
          <w:rFonts w:ascii="Times New Roman" w:hAnsi="Times New Roman" w:eastAsia="仿宋_GB2312"/>
          <w:sz w:val="32"/>
          <w:szCs w:val="32"/>
        </w:rPr>
        <w:t>5分；没有给予政策和资金支持的</w:t>
      </w:r>
      <w:r>
        <w:rPr>
          <w:rFonts w:hint="eastAsia" w:ascii="Times New Roman" w:hAnsi="Times New Roman" w:eastAsia="仿宋_GB2312"/>
          <w:sz w:val="32"/>
          <w:szCs w:val="32"/>
        </w:rPr>
        <w:t>，</w:t>
      </w:r>
      <w:r>
        <w:rPr>
          <w:rFonts w:ascii="Times New Roman" w:hAnsi="Times New Roman" w:eastAsia="仿宋_GB2312"/>
          <w:sz w:val="32"/>
          <w:szCs w:val="32"/>
        </w:rPr>
        <w:t>不得分。</w:t>
      </w:r>
    </w:p>
    <w:p>
      <w:pPr>
        <w:spacing w:line="580" w:lineRule="exact"/>
        <w:ind w:firstLine="640" w:firstLineChars="200"/>
        <w:jc w:val="both"/>
        <w:rPr>
          <w:rFonts w:hint="default" w:ascii="Times New Roman" w:hAnsi="Times New Roman" w:eastAsia="仿宋_GB2312" w:cs="Times New Roman"/>
          <w:b w:val="0"/>
          <w:i w:val="0"/>
          <w:caps w:val="0"/>
          <w:smallCaps w:val="0"/>
          <w:strike w:val="0"/>
          <w:dstrike w:val="0"/>
          <w:snapToGrid/>
          <w:vanish w:val="0"/>
          <w:spacing w:val="0"/>
          <w:w w:val="100"/>
          <w:kern w:val="0"/>
          <w:position w:val="0"/>
          <w:sz w:val="32"/>
          <w:u w:val="none" w:color="000000"/>
        </w:rPr>
      </w:pPr>
      <w:r>
        <w:rPr>
          <w:rFonts w:hint="default" w:ascii="Times New Roman" w:hAnsi="Times New Roman" w:eastAsia="仿宋_GB2312" w:cs="Times New Roman"/>
          <w:sz w:val="32"/>
          <w:szCs w:val="32"/>
        </w:rPr>
        <w:t>数据来源：各省份政策文件及相关佐证材料。</w:t>
      </w:r>
    </w:p>
    <w:p>
      <w:pPr>
        <w:spacing w:line="580" w:lineRule="exact"/>
        <w:ind w:firstLine="640" w:firstLineChars="200"/>
        <w:jc w:val="both"/>
        <w:rPr>
          <w:rFonts w:hint="eastAsia" w:ascii="Times New Roman" w:hAnsi="Times New Roman" w:eastAsia="仿宋_GB2312" w:cs="Times New Roman"/>
          <w:sz w:val="32"/>
          <w:szCs w:val="32"/>
          <w:lang w:eastAsia="zh-CN"/>
        </w:rPr>
      </w:pPr>
    </w:p>
    <w:p>
      <w:pPr>
        <w:spacing w:line="580" w:lineRule="exact"/>
        <w:ind w:firstLine="640" w:firstLineChars="200"/>
        <w:jc w:val="both"/>
        <w:rPr>
          <w:rFonts w:hint="eastAsia" w:ascii="Times New Roman" w:hAnsi="Times New Roman" w:eastAsia="仿宋_GB2312" w:cs="Times New Roman"/>
          <w:sz w:val="32"/>
          <w:szCs w:val="32"/>
          <w:lang w:eastAsia="zh-CN"/>
        </w:rPr>
      </w:pPr>
    </w:p>
    <w:p>
      <w:pPr>
        <w:spacing w:line="580" w:lineRule="exact"/>
        <w:ind w:firstLine="640" w:firstLineChars="2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抄送：中央纪委国家监委驻交通运输部纪检监察组。</w:t>
      </w:r>
    </w:p>
    <w:p>
      <w:bookmarkStart w:id="1" w:name="_GoBack"/>
      <w:bookmarkEnd w:id="1"/>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hmMmI1NzUxOTZmNTkxZDRjZTMwOTFlN2VkNWU3MTMifQ=="/>
  </w:docVars>
  <w:rsids>
    <w:rsidRoot w:val="00000000"/>
    <w:rsid w:val="767065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2022-10-26T04:00:44Z</dcterms:created>
  <dc:creator>Administrator</dc:creator>
  <cp:lastModifiedBy>GIT-大Ju</cp:lastModifiedBy>
  <dcterms:modified xsi:type="dcterms:W3CDTF">2022-10-26T04:01:09Z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2BF6D8D6261A42C9A0B0C0BD166D10B0</vt:lpwstr>
  </property>
</Properties>
</file>