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left"/>
        <w:textAlignment w:val="auto"/>
        <w:rPr>
          <w:rFonts w:hint="default" w:ascii="黑体" w:hAnsi="黑体" w:eastAsia="黑体" w:cs="黑体"/>
          <w:b w:val="0"/>
          <w:bCs w:val="0"/>
          <w:i w:val="0"/>
          <w:iCs w:val="0"/>
          <w:caps w:val="0"/>
          <w:color w:val="auto"/>
          <w:spacing w:val="0"/>
          <w:sz w:val="32"/>
          <w:szCs w:val="32"/>
          <w:lang w:val="en-US" w:eastAsia="zh-CN"/>
        </w:rPr>
      </w:pPr>
      <w:r>
        <w:rPr>
          <w:rFonts w:hint="eastAsia" w:ascii="黑体" w:hAnsi="黑体" w:eastAsia="黑体" w:cs="黑体"/>
          <w:b w:val="0"/>
          <w:bCs w:val="0"/>
          <w:i w:val="0"/>
          <w:iCs w:val="0"/>
          <w:caps w:val="0"/>
          <w:color w:val="auto"/>
          <w:spacing w:val="0"/>
          <w:sz w:val="32"/>
          <w:szCs w:val="32"/>
          <w:lang w:eastAsia="zh-CN"/>
        </w:rPr>
        <w:t>附件</w:t>
      </w:r>
      <w:r>
        <w:rPr>
          <w:rFonts w:hint="eastAsia" w:ascii="黑体" w:hAnsi="黑体" w:eastAsia="黑体" w:cs="黑体"/>
          <w:b w:val="0"/>
          <w:bCs w:val="0"/>
          <w:i w:val="0"/>
          <w:iCs w:val="0"/>
          <w:caps w:val="0"/>
          <w:color w:val="auto"/>
          <w:spacing w:val="0"/>
          <w:sz w:val="32"/>
          <w:szCs w:val="32"/>
          <w:lang w:val="en-US" w:eastAsia="zh-CN"/>
        </w:rPr>
        <w:t>1</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eastAsia" w:ascii="方正小标宋_GBK" w:hAnsi="方正小标宋_GBK" w:eastAsia="方正小标宋_GBK" w:cs="方正小标宋_GBK"/>
          <w:b w:val="0"/>
          <w:bCs w:val="0"/>
          <w:i w:val="0"/>
          <w:iCs w:val="0"/>
          <w:caps w:val="0"/>
          <w:color w:val="auto"/>
          <w:spacing w:val="0"/>
          <w:sz w:val="36"/>
          <w:szCs w:val="36"/>
        </w:rPr>
      </w:pPr>
      <w:r>
        <w:rPr>
          <w:rFonts w:hint="eastAsia" w:ascii="方正小标宋_GBK" w:hAnsi="方正小标宋_GBK" w:eastAsia="方正小标宋_GBK" w:cs="方正小标宋_GBK"/>
          <w:b w:val="0"/>
          <w:bCs w:val="0"/>
          <w:i w:val="0"/>
          <w:iCs w:val="0"/>
          <w:caps w:val="0"/>
          <w:color w:val="auto"/>
          <w:spacing w:val="0"/>
          <w:sz w:val="36"/>
          <w:szCs w:val="36"/>
        </w:rPr>
        <w:t>202</w:t>
      </w:r>
      <w:r>
        <w:rPr>
          <w:rFonts w:hint="eastAsia" w:ascii="方正小标宋_GBK" w:hAnsi="方正小标宋_GBK" w:eastAsia="方正小标宋_GBK" w:cs="方正小标宋_GBK"/>
          <w:b w:val="0"/>
          <w:bCs w:val="0"/>
          <w:i w:val="0"/>
          <w:iCs w:val="0"/>
          <w:caps w:val="0"/>
          <w:color w:val="auto"/>
          <w:spacing w:val="0"/>
          <w:sz w:val="36"/>
          <w:szCs w:val="36"/>
          <w:lang w:val="en-US" w:eastAsia="zh-CN"/>
        </w:rPr>
        <w:t>1</w:t>
      </w:r>
      <w:r>
        <w:rPr>
          <w:rFonts w:hint="eastAsia" w:ascii="方正小标宋_GBK" w:hAnsi="方正小标宋_GBK" w:eastAsia="方正小标宋_GBK" w:cs="方正小标宋_GBK"/>
          <w:b w:val="0"/>
          <w:bCs w:val="0"/>
          <w:i w:val="0"/>
          <w:iCs w:val="0"/>
          <w:caps w:val="0"/>
          <w:color w:val="auto"/>
          <w:spacing w:val="0"/>
          <w:sz w:val="36"/>
          <w:szCs w:val="36"/>
        </w:rPr>
        <w:t>年沿海省际散装液体危险货物船舶运输</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eastAsia" w:ascii="方正小标宋_GBK" w:hAnsi="方正小标宋_GBK" w:eastAsia="方正小标宋_GBK" w:cs="方正小标宋_GBK"/>
          <w:b w:val="0"/>
          <w:bCs w:val="0"/>
          <w:i w:val="0"/>
          <w:iCs w:val="0"/>
          <w:caps w:val="0"/>
          <w:color w:val="auto"/>
          <w:spacing w:val="0"/>
          <w:sz w:val="36"/>
          <w:szCs w:val="36"/>
        </w:rPr>
      </w:pPr>
      <w:r>
        <w:rPr>
          <w:rFonts w:hint="eastAsia" w:ascii="方正小标宋_GBK" w:hAnsi="方正小标宋_GBK" w:eastAsia="方正小标宋_GBK" w:cs="方正小标宋_GBK"/>
          <w:b w:val="0"/>
          <w:bCs w:val="0"/>
          <w:i w:val="0"/>
          <w:iCs w:val="0"/>
          <w:caps w:val="0"/>
          <w:color w:val="auto"/>
          <w:spacing w:val="0"/>
          <w:sz w:val="36"/>
          <w:szCs w:val="36"/>
        </w:rPr>
        <w:t>市场</w:t>
      </w:r>
      <w:r>
        <w:rPr>
          <w:rFonts w:hint="eastAsia" w:ascii="方正小标宋_GBK" w:hAnsi="方正小标宋_GBK" w:eastAsia="方正小标宋_GBK" w:cs="方正小标宋_GBK"/>
          <w:b w:val="0"/>
          <w:bCs w:val="0"/>
          <w:i w:val="0"/>
          <w:iCs w:val="0"/>
          <w:caps w:val="0"/>
          <w:color w:val="auto"/>
          <w:spacing w:val="0"/>
          <w:sz w:val="36"/>
          <w:szCs w:val="36"/>
          <w:lang w:eastAsia="zh-CN"/>
        </w:rPr>
        <w:t>情况</w:t>
      </w:r>
      <w:r>
        <w:rPr>
          <w:rFonts w:hint="eastAsia" w:ascii="方正小标宋_GBK" w:hAnsi="方正小标宋_GBK" w:eastAsia="方正小标宋_GBK" w:cs="方正小标宋_GBK"/>
          <w:b w:val="0"/>
          <w:bCs w:val="0"/>
          <w:i w:val="0"/>
          <w:iCs w:val="0"/>
          <w:caps w:val="0"/>
          <w:color w:val="auto"/>
          <w:spacing w:val="0"/>
          <w:sz w:val="36"/>
          <w:szCs w:val="36"/>
        </w:rPr>
        <w:t>及202</w:t>
      </w:r>
      <w:r>
        <w:rPr>
          <w:rFonts w:hint="eastAsia" w:ascii="方正小标宋_GBK" w:hAnsi="方正小标宋_GBK" w:eastAsia="方正小标宋_GBK" w:cs="方正小标宋_GBK"/>
          <w:b w:val="0"/>
          <w:bCs w:val="0"/>
          <w:i w:val="0"/>
          <w:iCs w:val="0"/>
          <w:caps w:val="0"/>
          <w:color w:val="auto"/>
          <w:spacing w:val="0"/>
          <w:sz w:val="36"/>
          <w:szCs w:val="36"/>
          <w:lang w:val="en-US" w:eastAsia="zh-CN"/>
        </w:rPr>
        <w:t>2</w:t>
      </w:r>
      <w:r>
        <w:rPr>
          <w:rFonts w:hint="eastAsia" w:ascii="方正小标宋_GBK" w:hAnsi="方正小标宋_GBK" w:eastAsia="方正小标宋_GBK" w:cs="方正小标宋_GBK"/>
          <w:b w:val="0"/>
          <w:bCs w:val="0"/>
          <w:i w:val="0"/>
          <w:iCs w:val="0"/>
          <w:caps w:val="0"/>
          <w:color w:val="auto"/>
          <w:spacing w:val="0"/>
          <w:sz w:val="36"/>
          <w:szCs w:val="36"/>
        </w:rPr>
        <w:t>年新增运力规模和推荐发展船型</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i w:val="0"/>
          <w:iCs w:val="0"/>
          <w:caps w:val="0"/>
          <w:color w:val="444444"/>
          <w:spacing w:val="0"/>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i w:val="0"/>
          <w:iCs w:val="0"/>
          <w:caps w:val="0"/>
          <w:color w:val="444444"/>
          <w:spacing w:val="0"/>
          <w:sz w:val="32"/>
          <w:szCs w:val="32"/>
          <w:shd w:val="clear" w:color="auto" w:fill="FFFFFF"/>
          <w:lang w:val="en-US" w:eastAsia="zh-CN"/>
        </w:rPr>
      </w:pPr>
      <w:r>
        <w:rPr>
          <w:rFonts w:hint="eastAsia" w:ascii="仿宋_GB2312" w:hAnsi="仿宋_GB2312" w:eastAsia="仿宋_GB2312" w:cs="仿宋_GB2312"/>
          <w:i w:val="0"/>
          <w:iCs w:val="0"/>
          <w:caps w:val="0"/>
          <w:color w:val="444444"/>
          <w:spacing w:val="0"/>
          <w:sz w:val="32"/>
          <w:szCs w:val="32"/>
          <w:shd w:val="clear" w:color="auto" w:fill="FFFFFF"/>
        </w:rPr>
        <w:t>为提高沿海省际散装液体危险货物船舶运输市场运力供给质量，积极引导船舶运力有序发展，公开公平公正地开展新增运力综合评审工作，现将202</w:t>
      </w:r>
      <w:r>
        <w:rPr>
          <w:rFonts w:hint="eastAsia" w:ascii="仿宋_GB2312" w:hAnsi="仿宋_GB2312" w:eastAsia="仿宋_GB2312" w:cs="仿宋_GB2312"/>
          <w:i w:val="0"/>
          <w:iCs w:val="0"/>
          <w:caps w:val="0"/>
          <w:color w:val="444444"/>
          <w:spacing w:val="0"/>
          <w:sz w:val="32"/>
          <w:szCs w:val="32"/>
          <w:shd w:val="clear" w:color="auto" w:fill="FFFFFF"/>
          <w:lang w:val="en-US" w:eastAsia="zh-CN"/>
        </w:rPr>
        <w:t>1</w:t>
      </w:r>
      <w:r>
        <w:rPr>
          <w:rFonts w:hint="eastAsia" w:ascii="仿宋_GB2312" w:hAnsi="仿宋_GB2312" w:eastAsia="仿宋_GB2312" w:cs="仿宋_GB2312"/>
          <w:i w:val="0"/>
          <w:iCs w:val="0"/>
          <w:caps w:val="0"/>
          <w:color w:val="444444"/>
          <w:spacing w:val="0"/>
          <w:sz w:val="32"/>
          <w:szCs w:val="32"/>
          <w:shd w:val="clear" w:color="auto" w:fill="FFFFFF"/>
        </w:rPr>
        <w:t>年沿海省际散装液体危险货物船舶运输市场情况及202</w:t>
      </w:r>
      <w:r>
        <w:rPr>
          <w:rFonts w:hint="eastAsia" w:ascii="仿宋_GB2312" w:hAnsi="仿宋_GB2312" w:eastAsia="仿宋_GB2312" w:cs="仿宋_GB2312"/>
          <w:i w:val="0"/>
          <w:iCs w:val="0"/>
          <w:caps w:val="0"/>
          <w:color w:val="444444"/>
          <w:spacing w:val="0"/>
          <w:sz w:val="32"/>
          <w:szCs w:val="32"/>
          <w:shd w:val="clear" w:color="auto" w:fill="FFFFFF"/>
          <w:lang w:val="en-US" w:eastAsia="zh-CN"/>
        </w:rPr>
        <w:t>2</w:t>
      </w:r>
      <w:r>
        <w:rPr>
          <w:rFonts w:hint="eastAsia" w:ascii="仿宋_GB2312" w:hAnsi="仿宋_GB2312" w:eastAsia="仿宋_GB2312" w:cs="仿宋_GB2312"/>
          <w:i w:val="0"/>
          <w:iCs w:val="0"/>
          <w:caps w:val="0"/>
          <w:color w:val="444444"/>
          <w:spacing w:val="0"/>
          <w:sz w:val="32"/>
          <w:szCs w:val="32"/>
          <w:shd w:val="clear" w:color="auto" w:fill="FFFFFF"/>
        </w:rPr>
        <w:t>年新增运力规模和推荐发展船型公布如下：</w:t>
      </w:r>
      <w:r>
        <w:rPr>
          <w:rFonts w:hint="eastAsia" w:ascii="仿宋_GB2312" w:hAnsi="仿宋_GB2312" w:eastAsia="仿宋_GB2312" w:cs="仿宋_GB2312"/>
          <w:i w:val="0"/>
          <w:iCs w:val="0"/>
          <w:caps w:val="0"/>
          <w:color w:val="444444"/>
          <w:spacing w:val="0"/>
          <w:sz w:val="32"/>
          <w:szCs w:val="32"/>
          <w:shd w:val="clear" w:color="auto" w:fill="FFFFFF"/>
        </w:rPr>
        <w:br w:type="textWrapping"/>
      </w:r>
      <w:r>
        <w:rPr>
          <w:rFonts w:hint="eastAsia" w:ascii="仿宋_GB2312" w:hAnsi="仿宋_GB2312" w:eastAsia="仿宋_GB2312" w:cs="仿宋_GB2312"/>
          <w:i w:val="0"/>
          <w:iCs w:val="0"/>
          <w:caps w:val="0"/>
          <w:color w:val="444444"/>
          <w:spacing w:val="0"/>
          <w:sz w:val="32"/>
          <w:szCs w:val="32"/>
          <w:shd w:val="clear" w:color="auto" w:fill="FFFFFF"/>
        </w:rPr>
        <w:t>　</w:t>
      </w:r>
      <w:r>
        <w:rPr>
          <w:rStyle w:val="6"/>
          <w:rFonts w:hint="eastAsia" w:ascii="仿宋_GB2312" w:hAnsi="仿宋_GB2312" w:eastAsia="仿宋_GB2312" w:cs="仿宋_GB2312"/>
          <w:b/>
          <w:bCs/>
          <w:i w:val="0"/>
          <w:iCs w:val="0"/>
          <w:caps w:val="0"/>
          <w:color w:val="444444"/>
          <w:spacing w:val="0"/>
          <w:sz w:val="32"/>
          <w:szCs w:val="32"/>
          <w:shd w:val="clear" w:color="auto" w:fill="FFFFFF"/>
        </w:rPr>
        <w:t>　</w:t>
      </w:r>
      <w:r>
        <w:rPr>
          <w:rStyle w:val="6"/>
          <w:rFonts w:hint="eastAsia" w:ascii="黑体" w:hAnsi="黑体" w:eastAsia="黑体" w:cs="黑体"/>
          <w:b w:val="0"/>
          <w:bCs w:val="0"/>
          <w:i w:val="0"/>
          <w:iCs w:val="0"/>
          <w:caps w:val="0"/>
          <w:color w:val="444444"/>
          <w:spacing w:val="0"/>
          <w:sz w:val="32"/>
          <w:szCs w:val="32"/>
          <w:shd w:val="clear" w:color="auto" w:fill="FFFFFF"/>
        </w:rPr>
        <w:t>一、202</w:t>
      </w:r>
      <w:r>
        <w:rPr>
          <w:rStyle w:val="6"/>
          <w:rFonts w:hint="eastAsia" w:ascii="黑体" w:hAnsi="黑体" w:eastAsia="黑体" w:cs="黑体"/>
          <w:b w:val="0"/>
          <w:bCs w:val="0"/>
          <w:i w:val="0"/>
          <w:iCs w:val="0"/>
          <w:caps w:val="0"/>
          <w:color w:val="444444"/>
          <w:spacing w:val="0"/>
          <w:sz w:val="32"/>
          <w:szCs w:val="32"/>
          <w:shd w:val="clear" w:color="auto" w:fill="FFFFFF"/>
          <w:lang w:val="en-US" w:eastAsia="zh-CN"/>
        </w:rPr>
        <w:t>1</w:t>
      </w:r>
      <w:r>
        <w:rPr>
          <w:rStyle w:val="6"/>
          <w:rFonts w:hint="eastAsia" w:ascii="黑体" w:hAnsi="黑体" w:eastAsia="黑体" w:cs="黑体"/>
          <w:b w:val="0"/>
          <w:bCs w:val="0"/>
          <w:i w:val="0"/>
          <w:iCs w:val="0"/>
          <w:caps w:val="0"/>
          <w:color w:val="444444"/>
          <w:spacing w:val="0"/>
          <w:sz w:val="32"/>
          <w:szCs w:val="32"/>
          <w:shd w:val="clear" w:color="auto" w:fill="FFFFFF"/>
        </w:rPr>
        <w:t>年沿海省际散装液体危险货物船舶运输市场情况</w:t>
      </w:r>
      <w:r>
        <w:rPr>
          <w:rFonts w:hint="eastAsia" w:ascii="黑体" w:hAnsi="黑体" w:eastAsia="黑体" w:cs="黑体"/>
          <w:b w:val="0"/>
          <w:bCs w:val="0"/>
          <w:i w:val="0"/>
          <w:iCs w:val="0"/>
          <w:caps w:val="0"/>
          <w:color w:val="444444"/>
          <w:spacing w:val="0"/>
          <w:sz w:val="32"/>
          <w:szCs w:val="32"/>
          <w:shd w:val="clear" w:color="auto" w:fill="FFFFFF"/>
        </w:rPr>
        <w:br w:type="textWrapping"/>
      </w:r>
      <w:r>
        <w:rPr>
          <w:rFonts w:hint="eastAsia" w:ascii="仿宋_GB2312" w:hAnsi="仿宋_GB2312" w:eastAsia="仿宋_GB2312" w:cs="仿宋_GB2312"/>
          <w:i w:val="0"/>
          <w:iCs w:val="0"/>
          <w:caps w:val="0"/>
          <w:color w:val="444444"/>
          <w:spacing w:val="0"/>
          <w:sz w:val="32"/>
          <w:szCs w:val="32"/>
          <w:shd w:val="clear" w:color="auto" w:fill="FFFFFF"/>
        </w:rPr>
        <w:t>　　近年来，沿海省际散装液体危险货物船舶运输市场基本保持稳定，细分市场各有不同，原油船舶运力整体上供大于求但存在结构性矛盾，成品油船舶、化学品船舶、液化石油气船舶运力供需基本平衡，液化天然气船舶运输市场尚处于发展阶段。</w:t>
      </w:r>
      <w:r>
        <w:rPr>
          <w:rFonts w:hint="eastAsia" w:ascii="仿宋_GB2312" w:hAnsi="仿宋_GB2312" w:eastAsia="仿宋_GB2312" w:cs="仿宋_GB2312"/>
          <w:i w:val="0"/>
          <w:iCs w:val="0"/>
          <w:caps w:val="0"/>
          <w:color w:val="444444"/>
          <w:spacing w:val="0"/>
          <w:sz w:val="32"/>
          <w:szCs w:val="32"/>
          <w:shd w:val="clear" w:color="auto" w:fill="FFFFFF"/>
        </w:rPr>
        <w:br w:type="textWrapping"/>
      </w:r>
      <w:r>
        <w:rPr>
          <w:rFonts w:hint="eastAsia" w:ascii="仿宋_GB2312" w:hAnsi="仿宋_GB2312" w:eastAsia="仿宋_GB2312" w:cs="仿宋_GB2312"/>
          <w:i w:val="0"/>
          <w:iCs w:val="0"/>
          <w:caps w:val="0"/>
          <w:color w:val="444444"/>
          <w:spacing w:val="0"/>
          <w:sz w:val="32"/>
          <w:szCs w:val="32"/>
          <w:shd w:val="clear" w:color="auto" w:fill="FFFFFF"/>
        </w:rPr>
        <w:t>　　202</w:t>
      </w:r>
      <w:r>
        <w:rPr>
          <w:rFonts w:hint="eastAsia" w:ascii="仿宋_GB2312" w:hAnsi="仿宋_GB2312" w:eastAsia="仿宋_GB2312" w:cs="仿宋_GB2312"/>
          <w:i w:val="0"/>
          <w:iCs w:val="0"/>
          <w:caps w:val="0"/>
          <w:color w:val="444444"/>
          <w:spacing w:val="0"/>
          <w:sz w:val="32"/>
          <w:szCs w:val="32"/>
          <w:shd w:val="clear" w:color="auto" w:fill="FFFFFF"/>
          <w:lang w:val="en-US" w:eastAsia="zh-CN"/>
        </w:rPr>
        <w:t>1</w:t>
      </w:r>
      <w:r>
        <w:rPr>
          <w:rFonts w:hint="eastAsia" w:ascii="仿宋_GB2312" w:hAnsi="仿宋_GB2312" w:eastAsia="仿宋_GB2312" w:cs="仿宋_GB2312"/>
          <w:i w:val="0"/>
          <w:iCs w:val="0"/>
          <w:caps w:val="0"/>
          <w:color w:val="444444"/>
          <w:spacing w:val="0"/>
          <w:sz w:val="32"/>
          <w:szCs w:val="32"/>
          <w:shd w:val="clear" w:color="auto" w:fill="FFFFFF"/>
        </w:rPr>
        <w:t>年，沿海省际原油船舶运输量完成7700万吨，</w:t>
      </w:r>
      <w:r>
        <w:rPr>
          <w:rFonts w:hint="eastAsia" w:ascii="仿宋_GB2312" w:hAnsi="仿宋_GB2312" w:eastAsia="仿宋_GB2312" w:cs="仿宋_GB2312"/>
          <w:i w:val="0"/>
          <w:iCs w:val="0"/>
          <w:caps w:val="0"/>
          <w:color w:val="444444"/>
          <w:spacing w:val="0"/>
          <w:sz w:val="32"/>
          <w:szCs w:val="32"/>
          <w:highlight w:val="none"/>
          <w:shd w:val="clear" w:color="auto" w:fill="FFFFFF"/>
        </w:rPr>
        <w:t>同比下降3.4%</w:t>
      </w:r>
      <w:r>
        <w:rPr>
          <w:rFonts w:hint="eastAsia" w:ascii="仿宋_GB2312" w:hAnsi="仿宋_GB2312" w:eastAsia="仿宋_GB2312" w:cs="仿宋_GB2312"/>
          <w:i w:val="0"/>
          <w:iCs w:val="0"/>
          <w:caps w:val="0"/>
          <w:color w:val="444444"/>
          <w:spacing w:val="0"/>
          <w:sz w:val="32"/>
          <w:szCs w:val="32"/>
          <w:shd w:val="clear" w:color="auto" w:fill="FFFFFF"/>
          <w:lang w:eastAsia="zh-CN"/>
        </w:rPr>
        <w:t>，</w:t>
      </w:r>
      <w:r>
        <w:rPr>
          <w:rFonts w:hint="eastAsia" w:ascii="仿宋_GB2312" w:hAnsi="仿宋_GB2312" w:eastAsia="仿宋_GB2312" w:cs="仿宋_GB2312"/>
          <w:i w:val="0"/>
          <w:iCs w:val="0"/>
          <w:caps w:val="0"/>
          <w:color w:val="444444"/>
          <w:spacing w:val="0"/>
          <w:sz w:val="32"/>
          <w:szCs w:val="32"/>
          <w:shd w:val="clear" w:color="auto" w:fill="FFFFFF"/>
          <w:lang w:val="en-US" w:eastAsia="zh-CN"/>
        </w:rPr>
        <w:t>具有运输资质</w:t>
      </w:r>
      <w:r>
        <w:rPr>
          <w:rFonts w:hint="eastAsia" w:ascii="仿宋_GB2312" w:hAnsi="仿宋_GB2312" w:eastAsia="仿宋_GB2312" w:cs="仿宋_GB2312"/>
          <w:i w:val="0"/>
          <w:iCs w:val="0"/>
          <w:caps w:val="0"/>
          <w:color w:val="444444"/>
          <w:spacing w:val="0"/>
          <w:sz w:val="32"/>
          <w:szCs w:val="32"/>
          <w:shd w:val="clear" w:color="auto" w:fill="FFFFFF"/>
        </w:rPr>
        <w:t>船舶</w:t>
      </w:r>
      <w:r>
        <w:rPr>
          <w:rFonts w:hint="eastAsia" w:ascii="仿宋_GB2312" w:hAnsi="仿宋_GB2312" w:eastAsia="仿宋_GB2312" w:cs="仿宋_GB2312"/>
          <w:i w:val="0"/>
          <w:iCs w:val="0"/>
          <w:caps w:val="0"/>
          <w:color w:val="444444"/>
          <w:spacing w:val="0"/>
          <w:sz w:val="32"/>
          <w:szCs w:val="32"/>
          <w:shd w:val="clear" w:color="auto" w:fill="FFFFFF"/>
          <w:lang w:val="en-US" w:eastAsia="zh-CN"/>
        </w:rPr>
        <w:t>107</w:t>
      </w:r>
      <w:r>
        <w:rPr>
          <w:rFonts w:hint="eastAsia" w:ascii="仿宋_GB2312" w:hAnsi="仿宋_GB2312" w:eastAsia="仿宋_GB2312" w:cs="仿宋_GB2312"/>
          <w:i w:val="0"/>
          <w:iCs w:val="0"/>
          <w:caps w:val="0"/>
          <w:color w:val="444444"/>
          <w:spacing w:val="0"/>
          <w:sz w:val="32"/>
          <w:szCs w:val="32"/>
          <w:shd w:val="clear" w:color="auto" w:fill="FFFFFF"/>
        </w:rPr>
        <w:t>艘、</w:t>
      </w:r>
      <w:r>
        <w:rPr>
          <w:rFonts w:hint="eastAsia" w:ascii="仿宋_GB2312" w:hAnsi="仿宋_GB2312" w:eastAsia="仿宋_GB2312" w:cs="仿宋_GB2312"/>
          <w:i w:val="0"/>
          <w:iCs w:val="0"/>
          <w:caps w:val="0"/>
          <w:color w:val="444444"/>
          <w:spacing w:val="0"/>
          <w:sz w:val="32"/>
          <w:szCs w:val="32"/>
          <w:shd w:val="clear" w:color="auto" w:fill="FFFFFF"/>
          <w:lang w:val="en-US" w:eastAsia="zh-CN"/>
        </w:rPr>
        <w:t>554.32</w:t>
      </w:r>
      <w:r>
        <w:rPr>
          <w:rFonts w:hint="eastAsia" w:ascii="仿宋_GB2312" w:hAnsi="仿宋_GB2312" w:eastAsia="仿宋_GB2312" w:cs="仿宋_GB2312"/>
          <w:i w:val="0"/>
          <w:iCs w:val="0"/>
          <w:caps w:val="0"/>
          <w:color w:val="444444"/>
          <w:spacing w:val="0"/>
          <w:sz w:val="32"/>
          <w:szCs w:val="32"/>
          <w:shd w:val="clear" w:color="auto" w:fill="FFFFFF"/>
        </w:rPr>
        <w:t>万载重吨，船舶运力供需基本保持平衡；沿海省际成品油船舶运输量完成</w:t>
      </w:r>
      <w:r>
        <w:rPr>
          <w:rFonts w:hint="eastAsia" w:ascii="仿宋_GB2312" w:hAnsi="仿宋_GB2312" w:eastAsia="仿宋_GB2312" w:cs="仿宋_GB2312"/>
          <w:i w:val="0"/>
          <w:iCs w:val="0"/>
          <w:caps w:val="0"/>
          <w:color w:val="444444"/>
          <w:spacing w:val="0"/>
          <w:sz w:val="32"/>
          <w:szCs w:val="32"/>
          <w:shd w:val="clear" w:color="auto" w:fill="FFFFFF"/>
          <w:lang w:val="en-US" w:eastAsia="zh-CN"/>
        </w:rPr>
        <w:t>81</w:t>
      </w:r>
      <w:r>
        <w:rPr>
          <w:rFonts w:hint="eastAsia" w:ascii="仿宋_GB2312" w:hAnsi="仿宋_GB2312" w:eastAsia="仿宋_GB2312" w:cs="仿宋_GB2312"/>
          <w:i w:val="0"/>
          <w:iCs w:val="0"/>
          <w:caps w:val="0"/>
          <w:color w:val="444444"/>
          <w:spacing w:val="0"/>
          <w:sz w:val="32"/>
          <w:szCs w:val="32"/>
          <w:shd w:val="clear" w:color="auto" w:fill="FFFFFF"/>
        </w:rPr>
        <w:t>00万吨，同比</w:t>
      </w:r>
      <w:r>
        <w:rPr>
          <w:rFonts w:hint="eastAsia" w:ascii="仿宋_GB2312" w:hAnsi="仿宋_GB2312" w:eastAsia="仿宋_GB2312" w:cs="仿宋_GB2312"/>
          <w:i w:val="0"/>
          <w:iCs w:val="0"/>
          <w:caps w:val="0"/>
          <w:color w:val="444444"/>
          <w:spacing w:val="0"/>
          <w:sz w:val="32"/>
          <w:szCs w:val="32"/>
          <w:shd w:val="clear" w:color="auto" w:fill="FFFFFF"/>
          <w:lang w:val="en-US" w:eastAsia="zh-CN"/>
        </w:rPr>
        <w:t>增长3.8</w:t>
      </w:r>
      <w:r>
        <w:rPr>
          <w:rFonts w:hint="eastAsia" w:ascii="仿宋_GB2312" w:hAnsi="仿宋_GB2312" w:eastAsia="仿宋_GB2312" w:cs="仿宋_GB2312"/>
          <w:i w:val="0"/>
          <w:iCs w:val="0"/>
          <w:caps w:val="0"/>
          <w:color w:val="444444"/>
          <w:spacing w:val="0"/>
          <w:sz w:val="32"/>
          <w:szCs w:val="32"/>
          <w:shd w:val="clear" w:color="auto" w:fill="FFFFFF"/>
        </w:rPr>
        <w:t>%，营运船舶1133艘、636.34万载重吨，船舶运力供需基本保持平衡；沿海省际化学品船舶运输量完成3650万吨，同比</w:t>
      </w:r>
      <w:r>
        <w:rPr>
          <w:rFonts w:hint="eastAsia" w:ascii="仿宋_GB2312" w:hAnsi="仿宋_GB2312" w:eastAsia="仿宋_GB2312" w:cs="仿宋_GB2312"/>
          <w:i w:val="0"/>
          <w:iCs w:val="0"/>
          <w:caps w:val="0"/>
          <w:color w:val="444444"/>
          <w:spacing w:val="0"/>
          <w:sz w:val="32"/>
          <w:szCs w:val="32"/>
          <w:shd w:val="clear" w:color="auto" w:fill="FFFFFF"/>
          <w:lang w:val="en-US" w:eastAsia="zh-CN"/>
        </w:rPr>
        <w:t>增长10.6</w:t>
      </w:r>
      <w:r>
        <w:rPr>
          <w:rFonts w:hint="eastAsia" w:ascii="仿宋_GB2312" w:hAnsi="仿宋_GB2312" w:eastAsia="仿宋_GB2312" w:cs="仿宋_GB2312"/>
          <w:i w:val="0"/>
          <w:iCs w:val="0"/>
          <w:caps w:val="0"/>
          <w:color w:val="444444"/>
          <w:spacing w:val="0"/>
          <w:sz w:val="32"/>
          <w:szCs w:val="32"/>
          <w:shd w:val="clear" w:color="auto" w:fill="FFFFFF"/>
        </w:rPr>
        <w:t>%，营运船舶284艘、128.9</w:t>
      </w:r>
      <w:r>
        <w:rPr>
          <w:rFonts w:hint="eastAsia" w:ascii="仿宋_GB2312" w:hAnsi="仿宋_GB2312" w:eastAsia="仿宋_GB2312" w:cs="仿宋_GB2312"/>
          <w:i w:val="0"/>
          <w:iCs w:val="0"/>
          <w:caps w:val="0"/>
          <w:color w:val="444444"/>
          <w:spacing w:val="0"/>
          <w:sz w:val="32"/>
          <w:szCs w:val="32"/>
          <w:shd w:val="clear" w:color="auto" w:fill="FFFFFF"/>
          <w:lang w:val="en-US" w:eastAsia="zh-CN"/>
        </w:rPr>
        <w:t>0</w:t>
      </w:r>
      <w:r>
        <w:rPr>
          <w:rFonts w:hint="eastAsia" w:ascii="仿宋_GB2312" w:hAnsi="仿宋_GB2312" w:eastAsia="仿宋_GB2312" w:cs="仿宋_GB2312"/>
          <w:i w:val="0"/>
          <w:iCs w:val="0"/>
          <w:caps w:val="0"/>
          <w:color w:val="444444"/>
          <w:spacing w:val="0"/>
          <w:sz w:val="32"/>
          <w:szCs w:val="32"/>
          <w:shd w:val="clear" w:color="auto" w:fill="FFFFFF"/>
        </w:rPr>
        <w:t>万载重吨，船舶运力供需基本保持平衡；沿海省际液化石油气（含化工气体）船舶运输量完成525万吨，</w:t>
      </w:r>
      <w:r>
        <w:rPr>
          <w:rFonts w:hint="eastAsia" w:ascii="仿宋_GB2312" w:hAnsi="仿宋_GB2312" w:eastAsia="仿宋_GB2312" w:cs="仿宋_GB2312"/>
          <w:i w:val="0"/>
          <w:iCs w:val="0"/>
          <w:caps w:val="0"/>
          <w:color w:val="444444"/>
          <w:spacing w:val="0"/>
          <w:sz w:val="32"/>
          <w:szCs w:val="32"/>
          <w:highlight w:val="none"/>
          <w:shd w:val="clear" w:color="auto" w:fill="FFFFFF"/>
        </w:rPr>
        <w:t>同比增长29.9%</w:t>
      </w:r>
      <w:r>
        <w:rPr>
          <w:rFonts w:hint="eastAsia" w:ascii="仿宋_GB2312" w:hAnsi="仿宋_GB2312" w:eastAsia="仿宋_GB2312" w:cs="仿宋_GB2312"/>
          <w:i w:val="0"/>
          <w:iCs w:val="0"/>
          <w:caps w:val="0"/>
          <w:color w:val="444444"/>
          <w:spacing w:val="0"/>
          <w:sz w:val="32"/>
          <w:szCs w:val="32"/>
          <w:shd w:val="clear" w:color="auto" w:fill="FFFFFF"/>
        </w:rPr>
        <w:t>，营运船舶75艘、24.12万载重吨，船舶运力供需基本保持平衡；沿海省际液化天然气（LNG）船舶运输量完成36万吨，营运船舶2艘、2.53万载重吨，运输市场尚处于发展阶段。</w:t>
      </w:r>
      <w:r>
        <w:rPr>
          <w:rFonts w:hint="eastAsia" w:ascii="仿宋_GB2312" w:hAnsi="仿宋_GB2312" w:eastAsia="仿宋_GB2312" w:cs="仿宋_GB2312"/>
          <w:i w:val="0"/>
          <w:iCs w:val="0"/>
          <w:caps w:val="0"/>
          <w:color w:val="444444"/>
          <w:spacing w:val="0"/>
          <w:sz w:val="32"/>
          <w:szCs w:val="32"/>
          <w:shd w:val="clear" w:color="auto" w:fill="FFFFFF"/>
        </w:rPr>
        <w:br w:type="textWrapping"/>
      </w:r>
      <w:r>
        <w:rPr>
          <w:rFonts w:hint="eastAsia" w:ascii="仿宋_GB2312" w:hAnsi="仿宋_GB2312" w:eastAsia="仿宋_GB2312" w:cs="仿宋_GB2312"/>
          <w:i w:val="0"/>
          <w:iCs w:val="0"/>
          <w:caps w:val="0"/>
          <w:color w:val="444444"/>
          <w:spacing w:val="0"/>
          <w:sz w:val="32"/>
          <w:szCs w:val="32"/>
          <w:shd w:val="clear" w:color="auto" w:fill="FFFFFF"/>
        </w:rPr>
        <w:t>　</w:t>
      </w:r>
      <w:r>
        <w:rPr>
          <w:rStyle w:val="6"/>
          <w:rFonts w:hint="eastAsia" w:ascii="仿宋_GB2312" w:hAnsi="仿宋_GB2312" w:eastAsia="仿宋_GB2312" w:cs="仿宋_GB2312"/>
          <w:b/>
          <w:bCs/>
          <w:i w:val="0"/>
          <w:iCs w:val="0"/>
          <w:caps w:val="0"/>
          <w:color w:val="444444"/>
          <w:spacing w:val="0"/>
          <w:sz w:val="32"/>
          <w:szCs w:val="32"/>
          <w:shd w:val="clear" w:color="auto" w:fill="FFFFFF"/>
        </w:rPr>
        <w:t>　</w:t>
      </w:r>
      <w:r>
        <w:rPr>
          <w:rStyle w:val="6"/>
          <w:rFonts w:hint="eastAsia" w:ascii="黑体" w:hAnsi="黑体" w:eastAsia="黑体" w:cs="黑体"/>
          <w:b w:val="0"/>
          <w:bCs w:val="0"/>
          <w:i w:val="0"/>
          <w:iCs w:val="0"/>
          <w:caps w:val="0"/>
          <w:color w:val="444444"/>
          <w:spacing w:val="0"/>
          <w:sz w:val="32"/>
          <w:szCs w:val="32"/>
          <w:shd w:val="clear" w:color="auto" w:fill="FFFFFF"/>
        </w:rPr>
        <w:t>二、202</w:t>
      </w:r>
      <w:r>
        <w:rPr>
          <w:rStyle w:val="6"/>
          <w:rFonts w:hint="eastAsia" w:ascii="黑体" w:hAnsi="黑体" w:eastAsia="黑体" w:cs="黑体"/>
          <w:b w:val="0"/>
          <w:bCs w:val="0"/>
          <w:i w:val="0"/>
          <w:iCs w:val="0"/>
          <w:caps w:val="0"/>
          <w:color w:val="444444"/>
          <w:spacing w:val="0"/>
          <w:sz w:val="32"/>
          <w:szCs w:val="32"/>
          <w:shd w:val="clear" w:color="auto" w:fill="FFFFFF"/>
          <w:lang w:val="en-US" w:eastAsia="zh-CN"/>
        </w:rPr>
        <w:t>2</w:t>
      </w:r>
      <w:r>
        <w:rPr>
          <w:rStyle w:val="6"/>
          <w:rFonts w:hint="eastAsia" w:ascii="黑体" w:hAnsi="黑体" w:eastAsia="黑体" w:cs="黑体"/>
          <w:b w:val="0"/>
          <w:bCs w:val="0"/>
          <w:i w:val="0"/>
          <w:iCs w:val="0"/>
          <w:caps w:val="0"/>
          <w:color w:val="444444"/>
          <w:spacing w:val="0"/>
          <w:sz w:val="32"/>
          <w:szCs w:val="32"/>
          <w:shd w:val="clear" w:color="auto" w:fill="FFFFFF"/>
        </w:rPr>
        <w:t>年新增运力规模和推荐发展船型</w:t>
      </w:r>
      <w:r>
        <w:rPr>
          <w:rFonts w:hint="eastAsia" w:ascii="黑体" w:hAnsi="黑体" w:eastAsia="黑体" w:cs="黑体"/>
          <w:b w:val="0"/>
          <w:bCs w:val="0"/>
          <w:i w:val="0"/>
          <w:iCs w:val="0"/>
          <w:caps w:val="0"/>
          <w:color w:val="444444"/>
          <w:spacing w:val="0"/>
          <w:sz w:val="32"/>
          <w:szCs w:val="32"/>
          <w:shd w:val="clear" w:color="auto" w:fill="FFFFFF"/>
        </w:rPr>
        <w:br w:type="textWrapping"/>
      </w:r>
      <w:r>
        <w:rPr>
          <w:rFonts w:hint="eastAsia" w:ascii="仿宋_GB2312" w:hAnsi="仿宋_GB2312" w:eastAsia="仿宋_GB2312" w:cs="仿宋_GB2312"/>
          <w:i w:val="0"/>
          <w:iCs w:val="0"/>
          <w:caps w:val="0"/>
          <w:color w:val="444444"/>
          <w:spacing w:val="0"/>
          <w:sz w:val="32"/>
          <w:szCs w:val="32"/>
          <w:shd w:val="clear" w:color="auto" w:fill="FFFFFF"/>
        </w:rPr>
        <w:t>　　为深化运力结构调整，满足特殊时期、特种货物运输需求，保障沿海省际散装液体危险货物运输，202</w:t>
      </w:r>
      <w:r>
        <w:rPr>
          <w:rFonts w:hint="eastAsia" w:ascii="仿宋_GB2312" w:hAnsi="仿宋_GB2312" w:eastAsia="仿宋_GB2312" w:cs="仿宋_GB2312"/>
          <w:i w:val="0"/>
          <w:iCs w:val="0"/>
          <w:caps w:val="0"/>
          <w:color w:val="444444"/>
          <w:spacing w:val="0"/>
          <w:sz w:val="32"/>
          <w:szCs w:val="32"/>
          <w:shd w:val="clear" w:color="auto" w:fill="FFFFFF"/>
          <w:lang w:val="en-US" w:eastAsia="zh-CN"/>
        </w:rPr>
        <w:t>2</w:t>
      </w:r>
      <w:r>
        <w:rPr>
          <w:rFonts w:hint="eastAsia" w:ascii="仿宋_GB2312" w:hAnsi="仿宋_GB2312" w:eastAsia="仿宋_GB2312" w:cs="仿宋_GB2312"/>
          <w:i w:val="0"/>
          <w:iCs w:val="0"/>
          <w:caps w:val="0"/>
          <w:color w:val="444444"/>
          <w:spacing w:val="0"/>
          <w:sz w:val="32"/>
          <w:szCs w:val="32"/>
          <w:shd w:val="clear" w:color="auto" w:fill="FFFFFF"/>
        </w:rPr>
        <w:t>年将适当新增部分船舶运力。</w:t>
      </w:r>
      <w:r>
        <w:rPr>
          <w:rFonts w:hint="eastAsia" w:ascii="仿宋_GB2312" w:hAnsi="仿宋_GB2312" w:eastAsia="仿宋_GB2312" w:cs="仿宋_GB2312"/>
          <w:i w:val="0"/>
          <w:iCs w:val="0"/>
          <w:caps w:val="0"/>
          <w:color w:val="444444"/>
          <w:spacing w:val="0"/>
          <w:sz w:val="32"/>
          <w:szCs w:val="32"/>
          <w:shd w:val="clear" w:color="auto" w:fill="FFFFFF"/>
        </w:rPr>
        <w:br w:type="textWrapping"/>
      </w:r>
      <w:r>
        <w:rPr>
          <w:rFonts w:hint="eastAsia" w:ascii="仿宋_GB2312" w:hAnsi="仿宋_GB2312" w:eastAsia="仿宋_GB2312" w:cs="仿宋_GB2312"/>
          <w:i w:val="0"/>
          <w:iCs w:val="0"/>
          <w:caps w:val="0"/>
          <w:color w:val="444444"/>
          <w:spacing w:val="0"/>
          <w:sz w:val="32"/>
          <w:szCs w:val="32"/>
          <w:shd w:val="clear" w:color="auto" w:fill="FFFFFF"/>
        </w:rPr>
        <w:t>　　（一）原油船舶运力：新增2万载重吨及以下原油运输船舶5万载重吨</w:t>
      </w:r>
      <w:r>
        <w:rPr>
          <w:rFonts w:hint="eastAsia" w:ascii="仿宋_GB2312" w:hAnsi="仿宋_GB2312" w:eastAsia="仿宋_GB2312" w:cs="仿宋_GB2312"/>
          <w:i w:val="0"/>
          <w:iCs w:val="0"/>
          <w:caps w:val="0"/>
          <w:color w:val="444444"/>
          <w:spacing w:val="0"/>
          <w:sz w:val="32"/>
          <w:szCs w:val="32"/>
          <w:shd w:val="clear" w:color="auto" w:fill="FFFFFF"/>
          <w:lang w:eastAsia="zh-CN"/>
        </w:rPr>
        <w:t>左右</w:t>
      </w:r>
      <w:r>
        <w:rPr>
          <w:rFonts w:hint="eastAsia" w:ascii="仿宋_GB2312" w:hAnsi="仿宋_GB2312" w:eastAsia="仿宋_GB2312" w:cs="仿宋_GB2312"/>
          <w:i w:val="0"/>
          <w:iCs w:val="0"/>
          <w:caps w:val="0"/>
          <w:color w:val="444444"/>
          <w:spacing w:val="0"/>
          <w:sz w:val="32"/>
          <w:szCs w:val="32"/>
          <w:shd w:val="clear" w:color="auto" w:fill="FFFFFF"/>
        </w:rPr>
        <w:t>；2万载重吨以上7万载重吨及以下原油运输船舶2艘，其中1艘为配备艏部装载系统的6-6.5万载重吨船舶。</w:t>
      </w:r>
      <w:r>
        <w:rPr>
          <w:rFonts w:hint="eastAsia" w:ascii="仿宋_GB2312" w:hAnsi="仿宋_GB2312" w:eastAsia="仿宋_GB2312" w:cs="仿宋_GB2312"/>
          <w:i w:val="0"/>
          <w:iCs w:val="0"/>
          <w:caps w:val="0"/>
          <w:color w:val="444444"/>
          <w:spacing w:val="0"/>
          <w:sz w:val="32"/>
          <w:szCs w:val="32"/>
          <w:shd w:val="clear" w:color="auto" w:fill="FFFFFF"/>
        </w:rPr>
        <w:br w:type="textWrapping"/>
      </w:r>
      <w:r>
        <w:rPr>
          <w:rFonts w:hint="eastAsia" w:ascii="仿宋_GB2312" w:hAnsi="仿宋_GB2312" w:eastAsia="仿宋_GB2312" w:cs="仿宋_GB2312"/>
          <w:i w:val="0"/>
          <w:iCs w:val="0"/>
          <w:caps w:val="0"/>
          <w:color w:val="444444"/>
          <w:spacing w:val="0"/>
          <w:sz w:val="32"/>
          <w:szCs w:val="32"/>
          <w:shd w:val="clear" w:color="auto" w:fill="FFFFFF"/>
        </w:rPr>
        <w:t>　　（二）成品油船舶运力：新增2</w:t>
      </w:r>
      <w:r>
        <w:rPr>
          <w:rFonts w:hint="eastAsia" w:ascii="仿宋_GB2312" w:hAnsi="仿宋_GB2312" w:eastAsia="仿宋_GB2312" w:cs="仿宋_GB2312"/>
          <w:i w:val="0"/>
          <w:iCs w:val="0"/>
          <w:caps w:val="0"/>
          <w:color w:val="444444"/>
          <w:spacing w:val="0"/>
          <w:sz w:val="32"/>
          <w:szCs w:val="32"/>
          <w:shd w:val="clear" w:color="auto" w:fill="FFFFFF"/>
          <w:lang w:val="en-US" w:eastAsia="zh-CN"/>
        </w:rPr>
        <w:t>1</w:t>
      </w:r>
      <w:r>
        <w:rPr>
          <w:rFonts w:hint="eastAsia" w:ascii="仿宋_GB2312" w:hAnsi="仿宋_GB2312" w:eastAsia="仿宋_GB2312" w:cs="仿宋_GB2312"/>
          <w:i w:val="0"/>
          <w:iCs w:val="0"/>
          <w:caps w:val="0"/>
          <w:color w:val="444444"/>
          <w:spacing w:val="0"/>
          <w:sz w:val="32"/>
          <w:szCs w:val="32"/>
          <w:shd w:val="clear" w:color="auto" w:fill="FFFFFF"/>
        </w:rPr>
        <w:t>万载重吨左右</w:t>
      </w:r>
      <w:r>
        <w:rPr>
          <w:rFonts w:hint="eastAsia" w:ascii="仿宋_GB2312" w:hAnsi="仿宋_GB2312" w:eastAsia="仿宋_GB2312" w:cs="仿宋_GB2312"/>
          <w:i w:val="0"/>
          <w:iCs w:val="0"/>
          <w:caps w:val="0"/>
          <w:color w:val="444444"/>
          <w:spacing w:val="0"/>
          <w:sz w:val="32"/>
          <w:szCs w:val="32"/>
          <w:shd w:val="clear" w:color="auto" w:fill="FFFFFF"/>
          <w:lang w:val="en-US" w:eastAsia="zh-CN"/>
        </w:rPr>
        <w:t>的</w:t>
      </w:r>
      <w:r>
        <w:rPr>
          <w:rFonts w:hint="eastAsia" w:ascii="仿宋_GB2312" w:hAnsi="仿宋_GB2312" w:eastAsia="仿宋_GB2312" w:cs="仿宋_GB2312"/>
          <w:i w:val="0"/>
          <w:iCs w:val="0"/>
          <w:caps w:val="0"/>
          <w:color w:val="444444"/>
          <w:spacing w:val="0"/>
          <w:sz w:val="32"/>
          <w:szCs w:val="32"/>
          <w:shd w:val="clear" w:color="auto" w:fill="FFFFFF"/>
        </w:rPr>
        <w:t>成品油船舶运力。</w:t>
      </w:r>
      <w:r>
        <w:rPr>
          <w:rFonts w:hint="eastAsia" w:ascii="仿宋_GB2312" w:hAnsi="仿宋_GB2312" w:eastAsia="仿宋_GB2312" w:cs="仿宋_GB2312"/>
          <w:i w:val="0"/>
          <w:iCs w:val="0"/>
          <w:caps w:val="0"/>
          <w:color w:val="444444"/>
          <w:spacing w:val="0"/>
          <w:sz w:val="32"/>
          <w:szCs w:val="32"/>
          <w:shd w:val="clear" w:color="auto" w:fill="FFFFFF"/>
        </w:rPr>
        <w:br w:type="textWrapping"/>
      </w:r>
      <w:r>
        <w:rPr>
          <w:rFonts w:hint="eastAsia" w:ascii="仿宋_GB2312" w:hAnsi="仿宋_GB2312" w:eastAsia="仿宋_GB2312" w:cs="仿宋_GB2312"/>
          <w:i w:val="0"/>
          <w:iCs w:val="0"/>
          <w:caps w:val="0"/>
          <w:color w:val="444444"/>
          <w:spacing w:val="0"/>
          <w:sz w:val="32"/>
          <w:szCs w:val="32"/>
          <w:shd w:val="clear" w:color="auto" w:fill="FFFFFF"/>
        </w:rPr>
        <w:t>　　（三）化学品船舶运力：新增</w:t>
      </w:r>
      <w:r>
        <w:rPr>
          <w:rFonts w:hint="eastAsia" w:ascii="仿宋_GB2312" w:hAnsi="仿宋_GB2312" w:eastAsia="仿宋_GB2312" w:cs="仿宋_GB2312"/>
          <w:i w:val="0"/>
          <w:iCs w:val="0"/>
          <w:caps w:val="0"/>
          <w:color w:val="444444"/>
          <w:spacing w:val="0"/>
          <w:sz w:val="32"/>
          <w:szCs w:val="32"/>
          <w:shd w:val="clear" w:color="auto" w:fill="FFFFFF"/>
          <w:lang w:val="en-US" w:eastAsia="zh-CN"/>
        </w:rPr>
        <w:t>8</w:t>
      </w:r>
      <w:r>
        <w:rPr>
          <w:rFonts w:hint="eastAsia" w:ascii="仿宋_GB2312" w:hAnsi="仿宋_GB2312" w:eastAsia="仿宋_GB2312" w:cs="仿宋_GB2312"/>
          <w:i w:val="0"/>
          <w:iCs w:val="0"/>
          <w:caps w:val="0"/>
          <w:color w:val="444444"/>
          <w:spacing w:val="0"/>
          <w:sz w:val="32"/>
          <w:szCs w:val="32"/>
          <w:shd w:val="clear" w:color="auto" w:fill="FFFFFF"/>
        </w:rPr>
        <w:t>万载重吨左右的化学品船舶运力，推荐发展船型为高端不锈钢化学品船舶。</w:t>
      </w:r>
      <w:r>
        <w:rPr>
          <w:rFonts w:hint="eastAsia" w:ascii="仿宋_GB2312" w:hAnsi="仿宋_GB2312" w:eastAsia="仿宋_GB2312" w:cs="仿宋_GB2312"/>
          <w:i w:val="0"/>
          <w:iCs w:val="0"/>
          <w:caps w:val="0"/>
          <w:color w:val="444444"/>
          <w:spacing w:val="0"/>
          <w:sz w:val="32"/>
          <w:szCs w:val="32"/>
          <w:shd w:val="clear" w:color="auto" w:fill="FFFFFF"/>
        </w:rPr>
        <w:br w:type="textWrapping"/>
      </w:r>
      <w:r>
        <w:rPr>
          <w:rFonts w:hint="eastAsia" w:ascii="仿宋_GB2312" w:hAnsi="仿宋_GB2312" w:eastAsia="仿宋_GB2312" w:cs="仿宋_GB2312"/>
          <w:i w:val="0"/>
          <w:iCs w:val="0"/>
          <w:caps w:val="0"/>
          <w:color w:val="444444"/>
          <w:spacing w:val="0"/>
          <w:sz w:val="32"/>
          <w:szCs w:val="32"/>
          <w:shd w:val="clear" w:color="auto" w:fill="FFFFFF"/>
        </w:rPr>
        <w:t>　　（四）液化石油气船舶运力：新增总计7-8万立方米左右液化石油气运输船舶（含化工气体船舶）运力。一是新增1.5-2万立方米液氨专用液化气运输船舶运力2艘；二是新增其他液化石油气运输船舶（含化工气体船舶）运力4万立方米左右。</w:t>
      </w:r>
      <w:r>
        <w:rPr>
          <w:rFonts w:hint="eastAsia" w:ascii="仿宋_GB2312" w:hAnsi="仿宋_GB2312" w:eastAsia="仿宋_GB2312" w:cs="仿宋_GB2312"/>
          <w:i w:val="0"/>
          <w:iCs w:val="0"/>
          <w:caps w:val="0"/>
          <w:color w:val="444444"/>
          <w:spacing w:val="0"/>
          <w:sz w:val="32"/>
          <w:szCs w:val="32"/>
          <w:shd w:val="clear" w:color="auto" w:fill="FFFFFF"/>
        </w:rPr>
        <w:br w:type="textWrapping"/>
      </w:r>
      <w:r>
        <w:rPr>
          <w:rFonts w:hint="eastAsia" w:ascii="仿宋_GB2312" w:hAnsi="仿宋_GB2312" w:eastAsia="仿宋_GB2312" w:cs="仿宋_GB2312"/>
          <w:i w:val="0"/>
          <w:iCs w:val="0"/>
          <w:caps w:val="0"/>
          <w:color w:val="444444"/>
          <w:spacing w:val="0"/>
          <w:sz w:val="32"/>
          <w:szCs w:val="32"/>
          <w:shd w:val="clear" w:color="auto" w:fill="FFFFFF"/>
        </w:rPr>
        <w:t>　　（五）液化天然气船舶运力：新增</w:t>
      </w:r>
      <w:r>
        <w:rPr>
          <w:rFonts w:hint="eastAsia" w:ascii="仿宋_GB2312" w:hAnsi="仿宋_GB2312" w:eastAsia="仿宋_GB2312" w:cs="仿宋_GB2312"/>
          <w:i w:val="0"/>
          <w:iCs w:val="0"/>
          <w:caps w:val="0"/>
          <w:color w:val="444444"/>
          <w:spacing w:val="0"/>
          <w:sz w:val="32"/>
          <w:szCs w:val="32"/>
          <w:shd w:val="clear" w:color="auto" w:fill="FFFFFF"/>
          <w:lang w:val="en-US" w:eastAsia="zh-CN"/>
        </w:rPr>
        <w:t>6</w:t>
      </w:r>
      <w:r>
        <w:rPr>
          <w:rFonts w:hint="eastAsia" w:ascii="仿宋_GB2312" w:hAnsi="仿宋_GB2312" w:eastAsia="仿宋_GB2312" w:cs="仿宋_GB2312"/>
          <w:i w:val="0"/>
          <w:iCs w:val="0"/>
          <w:caps w:val="0"/>
          <w:color w:val="444444"/>
          <w:spacing w:val="0"/>
          <w:sz w:val="32"/>
          <w:szCs w:val="32"/>
          <w:shd w:val="clear" w:color="auto" w:fill="FFFFFF"/>
        </w:rPr>
        <w:t>万立方米左右的液化天然气船舶运力。</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i w:val="0"/>
          <w:iCs w:val="0"/>
          <w:caps w:val="0"/>
          <w:color w:val="444444"/>
          <w:spacing w:val="0"/>
          <w:sz w:val="32"/>
          <w:szCs w:val="32"/>
          <w:shd w:val="clear" w:color="auto" w:fill="FFFFFF"/>
          <w:lang w:val="en-US" w:eastAsia="zh-CN"/>
        </w:rPr>
      </w:pPr>
      <w:r>
        <w:rPr>
          <w:rFonts w:hint="eastAsia" w:ascii="仿宋_GB2312" w:hAnsi="仿宋_GB2312" w:eastAsia="仿宋_GB2312" w:cs="仿宋_GB2312"/>
          <w:i w:val="0"/>
          <w:iCs w:val="0"/>
          <w:caps w:val="0"/>
          <w:color w:val="444444"/>
          <w:spacing w:val="0"/>
          <w:sz w:val="32"/>
          <w:szCs w:val="32"/>
          <w:shd w:val="clear" w:color="auto" w:fill="FFFFFF"/>
          <w:lang w:val="en-US" w:eastAsia="zh-CN"/>
        </w:rPr>
        <w:t>为进一步引导和促进沿海省际散装液体危险货物船舶安全绿色发展，国内新建、中国籍国际航行船舶转入国内运输、国（境）外购置或光租船舶应采取经船舶检验机构认可的抗碰撞设计和船舶能效管理措施。</w:t>
      </w:r>
    </w:p>
    <w:p>
      <w:pPr>
        <w:keepNext w:val="0"/>
        <w:keepLines w:val="0"/>
        <w:pageBreakBefore w:val="0"/>
        <w:kinsoku/>
        <w:wordWrap/>
        <w:overflowPunct/>
        <w:topLinePunct w:val="0"/>
        <w:autoSpaceDE/>
        <w:autoSpaceDN/>
        <w:bidi w:val="0"/>
        <w:adjustRightInd/>
        <w:snapToGrid/>
        <w:spacing w:line="600" w:lineRule="exact"/>
        <w:textAlignment w:val="auto"/>
      </w:pPr>
    </w:p>
    <w:p>
      <w:pPr>
        <w:rPr>
          <w:rFonts w:hint="eastAsia" w:eastAsia="宋体"/>
          <w:lang w:val="en-US" w:eastAsia="zh-CN"/>
        </w:rPr>
      </w:pPr>
      <w:r>
        <w:rPr>
          <w:rFonts w:hint="eastAsia"/>
          <w:lang w:val="en-US" w:eastAsia="zh-CN"/>
        </w:rPr>
        <w:t xml:space="preserve"> </w:t>
      </w:r>
      <w:bookmarkStart w:id="0" w:name="_GoBack"/>
      <w:bookmarkEnd w:id="0"/>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2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hmMmI1NzUxOTZmNTkxZDRjZTMwOTFlN2VkNWU3MTMifQ=="/>
  </w:docVars>
  <w:rsids>
    <w:rsidRoot w:val="00000000"/>
    <w:rsid w:val="4F2054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2022-08-27T12:28:44Z</dcterms:created>
  <dc:creator>Administrator</dc:creator>
  <cp:lastModifiedBy>GIT-大Ju</cp:lastModifiedBy>
  <dcterms:modified xsi:type="dcterms:W3CDTF">2022-08-27T12:30:37Z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60EF7343AB264AB789CAFEAC8CF6FEFC</vt:lpwstr>
  </property>
</Properties>
</file>