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lef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重点实验室申报指南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黑体" w:hAnsi="黑体" w:eastAsia="黑体"/>
          <w:sz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lang w:eastAsia="zh-CN"/>
        </w:rPr>
        <w:t>一、认定方向：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综合交通运输理论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仿宋" w:hAnsi="仿宋" w:eastAsia="仿宋"/>
          <w:sz w:val="32"/>
        </w:rPr>
      </w:pPr>
      <w:r>
        <w:rPr>
          <w:rFonts w:hint="eastAsia" w:ascii="黑体" w:hAnsi="黑体" w:eastAsia="黑体"/>
          <w:sz w:val="32"/>
          <w:lang w:eastAsia="zh-CN"/>
        </w:rPr>
        <w:t>二、</w:t>
      </w:r>
      <w:r>
        <w:rPr>
          <w:rFonts w:hint="eastAsia" w:ascii="黑体" w:hAnsi="黑体" w:eastAsia="黑体"/>
          <w:sz w:val="32"/>
        </w:rPr>
        <w:t>主要目标：</w:t>
      </w:r>
      <w:r>
        <w:rPr>
          <w:rFonts w:hint="eastAsia" w:ascii="Times New Roman" w:hAnsi="Times New Roman" w:eastAsia="仿宋_GB2312"/>
          <w:sz w:val="32"/>
          <w:szCs w:val="32"/>
        </w:rPr>
        <w:t>围绕</w:t>
      </w:r>
      <w:r>
        <w:rPr>
          <w:rFonts w:hint="eastAsia" w:ascii="Times New Roman" w:hAnsi="Times New Roman" w:eastAsia="仿宋_GB2312"/>
          <w:sz w:val="32"/>
          <w:szCs w:val="32"/>
          <w:lang w:val="en"/>
        </w:rPr>
        <w:t>加快建设交通强国，</w:t>
      </w:r>
      <w:r>
        <w:rPr>
          <w:rFonts w:hint="eastAsia" w:ascii="Times New Roman" w:hAnsi="Times New Roman" w:eastAsia="仿宋_GB2312"/>
          <w:sz w:val="32"/>
          <w:szCs w:val="32"/>
        </w:rPr>
        <w:t>构建现代化高质量国家综合立体交通网，开展综合交通运输基础理论和应用理论研究，构建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具有中国特色的</w:t>
      </w:r>
      <w:r>
        <w:rPr>
          <w:rFonts w:hint="eastAsia" w:ascii="Times New Roman" w:hAnsi="Times New Roman" w:eastAsia="仿宋_GB2312"/>
          <w:sz w:val="32"/>
          <w:szCs w:val="32"/>
        </w:rPr>
        <w:t>综合交通运输理论体系，引领各种运输方式一体融合发展，充分发挥各种运输方式的</w:t>
      </w:r>
      <w:r>
        <w:rPr>
          <w:rFonts w:hint="eastAsia" w:ascii="Times New Roman" w:hAnsi="Times New Roman" w:eastAsia="仿宋_GB2312"/>
          <w:sz w:val="32"/>
          <w:szCs w:val="32"/>
          <w:lang w:val="en"/>
        </w:rPr>
        <w:t>比较</w:t>
      </w:r>
      <w:r>
        <w:rPr>
          <w:rFonts w:hint="eastAsia" w:ascii="Times New Roman" w:hAnsi="Times New Roman" w:eastAsia="仿宋_GB2312"/>
          <w:sz w:val="32"/>
          <w:szCs w:val="32"/>
        </w:rPr>
        <w:t>优势，</w:t>
      </w:r>
      <w:r>
        <w:rPr>
          <w:rFonts w:hint="eastAsia" w:ascii="Times New Roman" w:hAnsi="Times New Roman" w:eastAsia="仿宋_GB2312"/>
          <w:sz w:val="32"/>
          <w:szCs w:val="32"/>
          <w:lang w:val="en"/>
        </w:rPr>
        <w:t>支撑加快形成安全、便捷、高效、绿色、经济的综合交通体系</w:t>
      </w:r>
      <w:r>
        <w:rPr>
          <w:rFonts w:hint="eastAsia" w:ascii="Times New Roman" w:hAnsi="Times New Roman" w:eastAsia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ascii="黑体" w:hAnsi="黑体" w:eastAsia="黑体"/>
          <w:sz w:val="32"/>
        </w:rPr>
      </w:pPr>
      <w:r>
        <w:rPr>
          <w:rFonts w:hint="eastAsia" w:ascii="黑体" w:hAnsi="黑体" w:eastAsia="黑体"/>
          <w:sz w:val="32"/>
          <w:lang w:eastAsia="zh-CN"/>
        </w:rPr>
        <w:t>三、</w:t>
      </w:r>
      <w:r>
        <w:rPr>
          <w:rFonts w:hint="eastAsia" w:ascii="黑体" w:hAnsi="黑体" w:eastAsia="黑体"/>
          <w:sz w:val="32"/>
        </w:rPr>
        <w:t>研究内容：</w:t>
      </w:r>
      <w:r>
        <w:rPr>
          <w:rFonts w:ascii="黑体" w:hAnsi="黑体" w:eastAsia="黑体"/>
          <w:sz w:val="32"/>
        </w:rPr>
        <w:tab/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640" w:leftChars="0" w:firstLine="640"/>
        <w:textAlignment w:val="auto"/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" w:eastAsia="zh-CN"/>
        </w:rPr>
        <w:t>重点实验室的研究内容包含但不限于如下内容：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" w:eastAsia="zh-CN"/>
        </w:rPr>
      </w:pP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（1）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Hans"/>
        </w:rPr>
        <w:t>综合交通运输基础理论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Hans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任务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1：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Hans"/>
        </w:rPr>
        <w:t>综合交通运输基本概念、系统构成、发展内涵等；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Hans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任务2：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Hans"/>
        </w:rPr>
        <w:t>综合交通运输与经济发展、产业融合、区域布局、科技创新、绿色发展等的协同作用机理；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任务3：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Hans"/>
        </w:rPr>
        <w:t>综合交通运输供给与需求理论、综合交通运输网络承载能力与服务水平分析等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任务4：综合交通运输发展对经济社会发展的贡献、综合交通运输（含智慧交通、绿色低碳等）发展水平评价方法。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（2）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Hans"/>
        </w:rPr>
        <w:t>综合交通运输应用基础理论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Hans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任务1：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Hans"/>
        </w:rPr>
        <w:t>综合交通运输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体系、网络、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Hans"/>
        </w:rPr>
        <w:t>通道和枢纽规划理论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Hans"/>
        </w:rPr>
        <w:t>方法；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Hans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任务2：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货物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Hans"/>
        </w:rPr>
        <w:t>多式联运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网络优化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Hans"/>
        </w:rPr>
        <w:t>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旅客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Hans"/>
        </w:rPr>
        <w:t>联程运输组织理论；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Hans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任务3：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Hans"/>
        </w:rPr>
        <w:t>综合交通运输安全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、应急基础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Hans"/>
        </w:rPr>
        <w:t>理论和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综合评价体系，应急体系与能力建设、应急演练组织方法与技术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Hans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任务4：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交通基础设施网与运输服务网、信息网、能源网融合发展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Hans"/>
        </w:rPr>
        <w:t>协同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规划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Hans"/>
        </w:rPr>
        <w:t>设计方法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、实现路径。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（3）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Hans"/>
        </w:rPr>
        <w:t>综合交通运输共性关键技术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Hans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任务1：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Hans"/>
        </w:rPr>
        <w:t>综合交通运输系统效能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及韧性评价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Hans"/>
        </w:rPr>
        <w:t>方法与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平台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Hans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任务2：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Hans"/>
        </w:rPr>
        <w:t>综合交通运输系统关键数据模型与方法；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任务3：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eastAsia="zh-CN"/>
        </w:rPr>
        <w:t>综合交通运输基础设施全生命周期理论及技术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任务4：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eastAsia="zh-CN"/>
        </w:rPr>
        <w:t>货物多式联运信息共享技术与标准</w:t>
      </w:r>
      <w:r>
        <w:rPr>
          <w:rFonts w:hint="eastAsia" w:ascii="Times New Roman" w:hAnsi="Times New Roman" w:eastAsia="仿宋_GB2312" w:cs="Times New Roman"/>
          <w:sz w:val="32"/>
          <w:szCs w:val="32"/>
          <w:vertAlign w:val="baseline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  <w:vertAlign w:val="baseline"/>
          <w:lang w:eastAsia="zh-CN"/>
        </w:rPr>
        <w:t>综合客运枢纽和综合货运枢纽运营评估方法。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黑体_GBK">
    <w:altName w:val="Arial Unicode MS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E3168E4"/>
    <w:rsid w:val="106032C8"/>
    <w:rsid w:val="3F187708"/>
    <w:rsid w:val="4F7A07FE"/>
    <w:rsid w:val="5DC0635D"/>
    <w:rsid w:val="5E3168E4"/>
    <w:rsid w:val="6BDE4F52"/>
    <w:rsid w:val="789050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rFonts w:eastAsia="宋体" w:cs="Times New Roman" w:asciiTheme="minorAscii" w:hAnsiTheme="minorAscii"/>
      <w:b/>
      <w:kern w:val="44"/>
      <w:sz w:val="44"/>
      <w:szCs w:val="22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Office_11.8.2.8361_F1E327BC-269C-435d-A152-05C5408002CA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2022-06-28T01:42:00Z</dcterms:created>
  <dc:creator>zph</dc:creator>
  <cp:lastModifiedBy>zph</cp:lastModifiedBy>
  <dcterms:modified xsi:type="dcterms:W3CDTF">2022-06-28T01:45:22Z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2052-11.8.2.8361</vt:lpwstr>
  </property>
</Properties>
</file>