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eastAsia="方正小标宋_GBK"/>
          <w:sz w:val="52"/>
          <w:szCs w:val="52"/>
        </w:rPr>
      </w:pPr>
      <w:r>
        <w:rPr>
          <w:rFonts w:eastAsia="方正小标宋_GBK"/>
          <w:sz w:val="52"/>
          <w:szCs w:val="52"/>
        </w:rPr>
        <w:t>绿色交通“十四五”发展规划</w:t>
      </w: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600"/>
        <w:jc w:val="center"/>
        <w:rPr>
          <w:sz w:val="21"/>
        </w:rPr>
      </w:pPr>
    </w:p>
    <w:p>
      <w:pPr>
        <w:pStyle w:val="8"/>
        <w:tabs>
          <w:tab w:val="right" w:leader="dot" w:pos="8306"/>
        </w:tabs>
        <w:ind w:leftChars="0"/>
        <w:jc w:val="center"/>
        <w:rPr>
          <w:rFonts w:eastAsia="黑体"/>
          <w:sz w:val="36"/>
          <w:szCs w:val="36"/>
        </w:rPr>
      </w:pPr>
    </w:p>
    <w:p>
      <w:pPr>
        <w:pStyle w:val="8"/>
        <w:tabs>
          <w:tab w:val="right" w:leader="dot" w:pos="8306"/>
        </w:tabs>
        <w:ind w:left="600"/>
        <w:jc w:val="center"/>
        <w:rPr>
          <w:rFonts w:eastAsia="方正小标宋_GBK"/>
          <w:sz w:val="44"/>
          <w:szCs w:val="44"/>
        </w:rPr>
      </w:pPr>
      <w:r>
        <w:rPr>
          <w:rFonts w:eastAsia="楷体_GB2312"/>
          <w:sz w:val="36"/>
          <w:szCs w:val="36"/>
        </w:rPr>
        <w:br w:type="page"/>
      </w:r>
      <w:r>
        <w:rPr>
          <w:rFonts w:eastAsia="方正小标宋_GBK"/>
          <w:sz w:val="44"/>
          <w:szCs w:val="44"/>
        </w:rPr>
        <w:t>目  录</w:t>
      </w:r>
    </w:p>
    <w:p>
      <w:pPr>
        <w:pStyle w:val="8"/>
        <w:tabs>
          <w:tab w:val="right" w:leader="dot" w:pos="8306"/>
        </w:tabs>
        <w:ind w:left="600"/>
        <w:jc w:val="center"/>
        <w:rPr>
          <w:rFonts w:eastAsia="方正小标宋_GBK"/>
          <w:sz w:val="44"/>
          <w:szCs w:val="44"/>
        </w:rPr>
      </w:pPr>
    </w:p>
    <w:p>
      <w:pPr>
        <w:pStyle w:val="4"/>
        <w:tabs>
          <w:tab w:val="right" w:leader="dot" w:pos="8306"/>
        </w:tabs>
        <w:rPr>
          <w:sz w:val="32"/>
          <w:szCs w:val="32"/>
        </w:rPr>
      </w:pPr>
      <w:r>
        <w:rPr>
          <w:sz w:val="32"/>
          <w:szCs w:val="32"/>
        </w:rPr>
        <w:fldChar w:fldCharType="begin"/>
      </w:r>
      <w:r>
        <w:rPr>
          <w:sz w:val="32"/>
          <w:szCs w:val="32"/>
        </w:rPr>
        <w:instrText xml:space="preserve">TOC \o "1-3" \h \u </w:instrText>
      </w:r>
      <w:r>
        <w:rPr>
          <w:sz w:val="32"/>
          <w:szCs w:val="32"/>
        </w:rPr>
        <w:fldChar w:fldCharType="separate"/>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HYPERLINK \l _Toc1879342810 </w:instrText>
      </w:r>
      <w:r>
        <w:rPr>
          <w:rFonts w:hint="eastAsia" w:ascii="黑体" w:hAnsi="黑体" w:eastAsia="黑体" w:cs="黑体"/>
          <w:sz w:val="32"/>
          <w:szCs w:val="32"/>
        </w:rPr>
        <w:fldChar w:fldCharType="separate"/>
      </w:r>
      <w:r>
        <w:rPr>
          <w:rFonts w:hint="eastAsia" w:ascii="黑体" w:hAnsi="黑体" w:eastAsia="黑体" w:cs="黑体"/>
          <w:sz w:val="32"/>
          <w:szCs w:val="32"/>
        </w:rPr>
        <w:t>一、规划基础</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_Toc1879342810 </w:instrText>
      </w:r>
      <w:r>
        <w:rPr>
          <w:rFonts w:hint="eastAsia" w:ascii="黑体" w:hAnsi="黑体" w:eastAsia="黑体" w:cs="黑体"/>
          <w:sz w:val="32"/>
          <w:szCs w:val="32"/>
        </w:rPr>
        <w:fldChar w:fldCharType="separate"/>
      </w:r>
      <w:r>
        <w:rPr>
          <w:rFonts w:hint="eastAsia" w:ascii="黑体" w:hAnsi="黑体" w:eastAsia="黑体" w:cs="黑体"/>
          <w:sz w:val="32"/>
          <w:szCs w:val="32"/>
        </w:rPr>
        <w:t xml:space="preserve">4 </w:t>
      </w:r>
      <w:r>
        <w:rPr>
          <w:rFonts w:hint="eastAsia" w:ascii="黑体" w:hAnsi="黑体" w:eastAsia="黑体" w:cs="黑体"/>
          <w:sz w:val="32"/>
          <w:szCs w:val="32"/>
        </w:rPr>
        <w:fldChar w:fldCharType="end"/>
      </w:r>
      <w:r>
        <w:rPr>
          <w:rFonts w:hint="eastAsia" w:ascii="黑体" w:hAnsi="黑体" w:eastAsia="黑体" w:cs="黑体"/>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_Toc2072051671 </w:instrText>
      </w:r>
      <w:r>
        <w:rPr>
          <w:sz w:val="32"/>
          <w:szCs w:val="32"/>
        </w:rPr>
        <w:fldChar w:fldCharType="separate"/>
      </w:r>
      <w:r>
        <w:rPr>
          <w:sz w:val="32"/>
          <w:szCs w:val="32"/>
        </w:rPr>
        <w:t>（一）发展成效</w:t>
      </w:r>
      <w:r>
        <w:rPr>
          <w:sz w:val="32"/>
          <w:szCs w:val="32"/>
        </w:rPr>
        <w:tab/>
      </w:r>
      <w:r>
        <w:rPr>
          <w:sz w:val="32"/>
          <w:szCs w:val="32"/>
        </w:rPr>
        <w:fldChar w:fldCharType="begin"/>
      </w:r>
      <w:r>
        <w:rPr>
          <w:sz w:val="32"/>
          <w:szCs w:val="32"/>
        </w:rPr>
        <w:instrText xml:space="preserve"> PAGEREF _Toc2072051671 </w:instrText>
      </w:r>
      <w:r>
        <w:rPr>
          <w:sz w:val="32"/>
          <w:szCs w:val="32"/>
        </w:rPr>
        <w:fldChar w:fldCharType="separate"/>
      </w:r>
      <w:r>
        <w:rPr>
          <w:sz w:val="32"/>
          <w:szCs w:val="32"/>
        </w:rPr>
        <w:t xml:space="preserve">4 </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_Toc1583373853 </w:instrText>
      </w:r>
      <w:r>
        <w:rPr>
          <w:sz w:val="32"/>
          <w:szCs w:val="32"/>
        </w:rPr>
        <w:fldChar w:fldCharType="separate"/>
      </w:r>
      <w:r>
        <w:rPr>
          <w:sz w:val="32"/>
          <w:szCs w:val="32"/>
        </w:rPr>
        <w:t>（二）形势要求</w:t>
      </w:r>
      <w:r>
        <w:rPr>
          <w:sz w:val="32"/>
          <w:szCs w:val="32"/>
        </w:rPr>
        <w:tab/>
      </w:r>
      <w:r>
        <w:rPr>
          <w:sz w:val="32"/>
          <w:szCs w:val="32"/>
        </w:rPr>
        <w:fldChar w:fldCharType="begin"/>
      </w:r>
      <w:r>
        <w:rPr>
          <w:sz w:val="32"/>
          <w:szCs w:val="32"/>
        </w:rPr>
        <w:instrText xml:space="preserve"> PAGEREF _Toc1583373853 </w:instrText>
      </w:r>
      <w:r>
        <w:rPr>
          <w:sz w:val="32"/>
          <w:szCs w:val="32"/>
        </w:rPr>
        <w:fldChar w:fldCharType="separate"/>
      </w:r>
      <w:r>
        <w:rPr>
          <w:sz w:val="32"/>
          <w:szCs w:val="32"/>
        </w:rPr>
        <w:t xml:space="preserve">6 </w:t>
      </w:r>
      <w:r>
        <w:rPr>
          <w:sz w:val="32"/>
          <w:szCs w:val="32"/>
        </w:rPr>
        <w:fldChar w:fldCharType="end"/>
      </w:r>
      <w:r>
        <w:rPr>
          <w:sz w:val="32"/>
          <w:szCs w:val="32"/>
        </w:rPr>
        <w:fldChar w:fldCharType="end"/>
      </w:r>
    </w:p>
    <w:p>
      <w:pPr>
        <w:pStyle w:val="4"/>
        <w:tabs>
          <w:tab w:val="right" w:leader="dot" w:pos="8306"/>
        </w:tabs>
        <w:rPr>
          <w:sz w:val="32"/>
          <w:szCs w:val="32"/>
        </w:rPr>
      </w:pPr>
      <w:r>
        <w:rPr>
          <w:sz w:val="32"/>
          <w:szCs w:val="32"/>
        </w:rPr>
        <w:fldChar w:fldCharType="begin"/>
      </w:r>
      <w:r>
        <w:rPr>
          <w:sz w:val="32"/>
          <w:szCs w:val="32"/>
        </w:rPr>
        <w:instrText xml:space="preserve"> HYPERLINK \l _Toc1204183788 </w:instrText>
      </w:r>
      <w:r>
        <w:rPr>
          <w:sz w:val="32"/>
          <w:szCs w:val="32"/>
        </w:rPr>
        <w:fldChar w:fldCharType="separate"/>
      </w:r>
      <w:r>
        <w:rPr>
          <w:rFonts w:hint="eastAsia" w:ascii="黑体" w:hAnsi="黑体" w:eastAsia="黑体" w:cs="黑体"/>
          <w:sz w:val="32"/>
          <w:szCs w:val="32"/>
        </w:rPr>
        <w:t>二、总体要求</w:t>
      </w:r>
      <w:r>
        <w:rPr>
          <w:sz w:val="32"/>
          <w:szCs w:val="32"/>
        </w:rPr>
        <w:tab/>
      </w:r>
      <w:r>
        <w:rPr>
          <w:sz w:val="32"/>
          <w:szCs w:val="32"/>
        </w:rPr>
        <w:fldChar w:fldCharType="begin"/>
      </w:r>
      <w:r>
        <w:rPr>
          <w:sz w:val="32"/>
          <w:szCs w:val="32"/>
        </w:rPr>
        <w:instrText xml:space="preserve"> PAGEREF _Toc1204183788 </w:instrText>
      </w:r>
      <w:r>
        <w:rPr>
          <w:sz w:val="32"/>
          <w:szCs w:val="32"/>
        </w:rPr>
        <w:fldChar w:fldCharType="separate"/>
      </w:r>
      <w:r>
        <w:rPr>
          <w:sz w:val="32"/>
          <w:szCs w:val="32"/>
        </w:rPr>
        <w:t>6</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_Toc1488138614 </w:instrText>
      </w:r>
      <w:r>
        <w:rPr>
          <w:sz w:val="32"/>
          <w:szCs w:val="32"/>
        </w:rPr>
        <w:fldChar w:fldCharType="separate"/>
      </w:r>
      <w:r>
        <w:rPr>
          <w:sz w:val="32"/>
          <w:szCs w:val="32"/>
        </w:rPr>
        <w:t>（一）指导思想</w:t>
      </w:r>
      <w:r>
        <w:rPr>
          <w:sz w:val="32"/>
          <w:szCs w:val="32"/>
        </w:rPr>
        <w:tab/>
      </w:r>
      <w:r>
        <w:rPr>
          <w:sz w:val="32"/>
          <w:szCs w:val="32"/>
        </w:rPr>
        <w:fldChar w:fldCharType="begin"/>
      </w:r>
      <w:r>
        <w:rPr>
          <w:sz w:val="32"/>
          <w:szCs w:val="32"/>
        </w:rPr>
        <w:instrText xml:space="preserve"> PAGEREF _Toc1488138614 </w:instrText>
      </w:r>
      <w:r>
        <w:rPr>
          <w:sz w:val="32"/>
          <w:szCs w:val="32"/>
        </w:rPr>
        <w:fldChar w:fldCharType="separate"/>
      </w:r>
      <w:r>
        <w:rPr>
          <w:sz w:val="32"/>
          <w:szCs w:val="32"/>
        </w:rPr>
        <w:t>6</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_Toc54405529 </w:instrText>
      </w:r>
      <w:r>
        <w:rPr>
          <w:sz w:val="32"/>
          <w:szCs w:val="32"/>
        </w:rPr>
        <w:fldChar w:fldCharType="separate"/>
      </w:r>
      <w:r>
        <w:rPr>
          <w:sz w:val="32"/>
          <w:szCs w:val="32"/>
        </w:rPr>
        <w:t>（二）基本原则</w:t>
      </w:r>
      <w:r>
        <w:rPr>
          <w:sz w:val="32"/>
          <w:szCs w:val="32"/>
        </w:rPr>
        <w:tab/>
      </w:r>
      <w:r>
        <w:rPr>
          <w:sz w:val="32"/>
          <w:szCs w:val="32"/>
        </w:rPr>
        <w:fldChar w:fldCharType="begin"/>
      </w:r>
      <w:r>
        <w:rPr>
          <w:sz w:val="32"/>
          <w:szCs w:val="32"/>
        </w:rPr>
        <w:instrText xml:space="preserve"> PAGEREF _Toc54405529 </w:instrText>
      </w:r>
      <w:r>
        <w:rPr>
          <w:sz w:val="32"/>
          <w:szCs w:val="32"/>
        </w:rPr>
        <w:fldChar w:fldCharType="separate"/>
      </w:r>
      <w:r>
        <w:rPr>
          <w:sz w:val="32"/>
          <w:szCs w:val="32"/>
        </w:rPr>
        <w:t xml:space="preserve">7 </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_Toc791540540 </w:instrText>
      </w:r>
      <w:r>
        <w:rPr>
          <w:sz w:val="32"/>
          <w:szCs w:val="32"/>
        </w:rPr>
        <w:fldChar w:fldCharType="separate"/>
      </w:r>
      <w:r>
        <w:rPr>
          <w:sz w:val="32"/>
          <w:szCs w:val="32"/>
        </w:rPr>
        <w:t>（三）发展目标</w:t>
      </w:r>
      <w:r>
        <w:rPr>
          <w:sz w:val="32"/>
          <w:szCs w:val="32"/>
        </w:rPr>
        <w:tab/>
      </w:r>
      <w:r>
        <w:rPr>
          <w:sz w:val="32"/>
          <w:szCs w:val="32"/>
        </w:rPr>
        <w:fldChar w:fldCharType="begin"/>
      </w:r>
      <w:r>
        <w:rPr>
          <w:sz w:val="32"/>
          <w:szCs w:val="32"/>
        </w:rPr>
        <w:instrText xml:space="preserve"> PAGEREF _Toc791540540 </w:instrText>
      </w:r>
      <w:r>
        <w:rPr>
          <w:sz w:val="32"/>
          <w:szCs w:val="32"/>
        </w:rPr>
        <w:fldChar w:fldCharType="separate"/>
      </w:r>
      <w:r>
        <w:rPr>
          <w:sz w:val="32"/>
          <w:szCs w:val="32"/>
        </w:rPr>
        <w:t>7</w:t>
      </w:r>
      <w:r>
        <w:rPr>
          <w:sz w:val="32"/>
          <w:szCs w:val="32"/>
        </w:rPr>
        <w:fldChar w:fldCharType="end"/>
      </w:r>
      <w:r>
        <w:rPr>
          <w:sz w:val="32"/>
          <w:szCs w:val="32"/>
        </w:rPr>
        <w:fldChar w:fldCharType="end"/>
      </w:r>
    </w:p>
    <w:p>
      <w:pPr>
        <w:pStyle w:val="4"/>
        <w:tabs>
          <w:tab w:val="right" w:leader="dot" w:pos="8306"/>
        </w:tabs>
        <w:rPr>
          <w:sz w:val="32"/>
          <w:szCs w:val="32"/>
        </w:rPr>
      </w:pPr>
      <w:r>
        <w:rPr>
          <w:sz w:val="32"/>
          <w:szCs w:val="32"/>
        </w:rPr>
        <w:fldChar w:fldCharType="begin"/>
      </w:r>
      <w:r>
        <w:rPr>
          <w:sz w:val="32"/>
          <w:szCs w:val="32"/>
        </w:rPr>
        <w:instrText xml:space="preserve"> HYPERLINK \l _Toc459645841 </w:instrText>
      </w:r>
      <w:r>
        <w:rPr>
          <w:sz w:val="32"/>
          <w:szCs w:val="32"/>
        </w:rPr>
        <w:fldChar w:fldCharType="separate"/>
      </w:r>
      <w:r>
        <w:rPr>
          <w:rFonts w:hint="eastAsia" w:ascii="黑体" w:hAnsi="黑体" w:eastAsia="黑体" w:cs="黑体"/>
          <w:sz w:val="32"/>
          <w:szCs w:val="32"/>
        </w:rPr>
        <w:t>三、主要任务</w:t>
      </w:r>
      <w:r>
        <w:rPr>
          <w:sz w:val="32"/>
          <w:szCs w:val="32"/>
        </w:rPr>
        <w:tab/>
      </w:r>
      <w:r>
        <w:rPr>
          <w:sz w:val="32"/>
          <w:szCs w:val="32"/>
        </w:rPr>
        <w:fldChar w:fldCharType="begin"/>
      </w:r>
      <w:r>
        <w:rPr>
          <w:sz w:val="32"/>
          <w:szCs w:val="32"/>
        </w:rPr>
        <w:instrText xml:space="preserve"> PAGEREF _Toc459645841 </w:instrText>
      </w:r>
      <w:r>
        <w:rPr>
          <w:sz w:val="32"/>
          <w:szCs w:val="32"/>
        </w:rPr>
        <w:fldChar w:fldCharType="separate"/>
      </w:r>
      <w:r>
        <w:rPr>
          <w:sz w:val="32"/>
          <w:szCs w:val="32"/>
        </w:rPr>
        <w:t xml:space="preserve">9 </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_Toc998982663 </w:instrText>
      </w:r>
      <w:r>
        <w:rPr>
          <w:sz w:val="32"/>
          <w:szCs w:val="32"/>
        </w:rPr>
        <w:fldChar w:fldCharType="separate"/>
      </w:r>
      <w:r>
        <w:rPr>
          <w:sz w:val="32"/>
          <w:szCs w:val="32"/>
        </w:rPr>
        <w:t>（一）优化空间布局，建设绿色交通基础设施</w:t>
      </w:r>
      <w:r>
        <w:rPr>
          <w:sz w:val="32"/>
          <w:szCs w:val="32"/>
        </w:rPr>
        <w:tab/>
      </w:r>
      <w:r>
        <w:rPr>
          <w:sz w:val="32"/>
          <w:szCs w:val="32"/>
        </w:rPr>
        <w:fldChar w:fldCharType="begin"/>
      </w:r>
      <w:r>
        <w:rPr>
          <w:sz w:val="32"/>
          <w:szCs w:val="32"/>
        </w:rPr>
        <w:instrText xml:space="preserve"> PAGEREF _Toc998982663 </w:instrText>
      </w:r>
      <w:r>
        <w:rPr>
          <w:sz w:val="32"/>
          <w:szCs w:val="32"/>
        </w:rPr>
        <w:fldChar w:fldCharType="separate"/>
      </w:r>
      <w:r>
        <w:rPr>
          <w:sz w:val="32"/>
          <w:szCs w:val="32"/>
        </w:rPr>
        <w:t>9</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_Toc1495446015 </w:instrText>
      </w:r>
      <w:r>
        <w:rPr>
          <w:sz w:val="32"/>
          <w:szCs w:val="32"/>
        </w:rPr>
        <w:fldChar w:fldCharType="separate"/>
      </w:r>
      <w:r>
        <w:rPr>
          <w:sz w:val="32"/>
          <w:szCs w:val="32"/>
        </w:rPr>
        <w:t>（二）优化交通运输结构，提升综合运输能效</w:t>
      </w:r>
      <w:r>
        <w:rPr>
          <w:sz w:val="32"/>
          <w:szCs w:val="32"/>
        </w:rPr>
        <w:tab/>
      </w:r>
      <w:r>
        <w:rPr>
          <w:sz w:val="32"/>
          <w:szCs w:val="32"/>
        </w:rPr>
        <w:fldChar w:fldCharType="begin"/>
      </w:r>
      <w:r>
        <w:rPr>
          <w:sz w:val="32"/>
          <w:szCs w:val="32"/>
        </w:rPr>
        <w:instrText xml:space="preserve"> PAGEREF _Toc1495446015 </w:instrText>
      </w:r>
      <w:r>
        <w:rPr>
          <w:sz w:val="32"/>
          <w:szCs w:val="32"/>
        </w:rPr>
        <w:fldChar w:fldCharType="separate"/>
      </w:r>
      <w:r>
        <w:rPr>
          <w:sz w:val="32"/>
          <w:szCs w:val="32"/>
        </w:rPr>
        <w:t>11</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_Toc1865621053 </w:instrText>
      </w:r>
      <w:r>
        <w:rPr>
          <w:sz w:val="32"/>
          <w:szCs w:val="32"/>
        </w:rPr>
        <w:fldChar w:fldCharType="separate"/>
      </w:r>
      <w:r>
        <w:rPr>
          <w:sz w:val="32"/>
          <w:szCs w:val="32"/>
        </w:rPr>
        <w:t>（三）推广应用新能源，构建低碳交通运输体系</w:t>
      </w:r>
      <w:r>
        <w:rPr>
          <w:sz w:val="32"/>
          <w:szCs w:val="32"/>
        </w:rPr>
        <w:tab/>
      </w:r>
      <w:r>
        <w:rPr>
          <w:sz w:val="32"/>
          <w:szCs w:val="32"/>
        </w:rPr>
        <w:fldChar w:fldCharType="begin"/>
      </w:r>
      <w:r>
        <w:rPr>
          <w:sz w:val="32"/>
          <w:szCs w:val="32"/>
        </w:rPr>
        <w:instrText xml:space="preserve"> PAGEREF _Toc1865621053 </w:instrText>
      </w:r>
      <w:r>
        <w:rPr>
          <w:sz w:val="32"/>
          <w:szCs w:val="32"/>
        </w:rPr>
        <w:fldChar w:fldCharType="separate"/>
      </w:r>
      <w:r>
        <w:rPr>
          <w:sz w:val="32"/>
          <w:szCs w:val="32"/>
        </w:rPr>
        <w:t xml:space="preserve">13 </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_Toc926354353 </w:instrText>
      </w:r>
      <w:r>
        <w:rPr>
          <w:sz w:val="32"/>
          <w:szCs w:val="32"/>
        </w:rPr>
        <w:fldChar w:fldCharType="separate"/>
      </w:r>
      <w:r>
        <w:rPr>
          <w:sz w:val="32"/>
          <w:szCs w:val="32"/>
        </w:rPr>
        <w:t>（四）坚持标本兼治，推进交通污染深度治理</w:t>
      </w:r>
      <w:r>
        <w:rPr>
          <w:sz w:val="32"/>
          <w:szCs w:val="32"/>
        </w:rPr>
        <w:tab/>
      </w:r>
      <w:r>
        <w:rPr>
          <w:sz w:val="32"/>
          <w:szCs w:val="32"/>
        </w:rPr>
        <w:fldChar w:fldCharType="begin"/>
      </w:r>
      <w:r>
        <w:rPr>
          <w:sz w:val="32"/>
          <w:szCs w:val="32"/>
        </w:rPr>
        <w:instrText xml:space="preserve"> PAGEREF _Toc926354353 </w:instrText>
      </w:r>
      <w:r>
        <w:rPr>
          <w:sz w:val="32"/>
          <w:szCs w:val="32"/>
        </w:rPr>
        <w:fldChar w:fldCharType="separate"/>
      </w:r>
      <w:r>
        <w:rPr>
          <w:sz w:val="32"/>
          <w:szCs w:val="32"/>
        </w:rPr>
        <w:t xml:space="preserve">15 </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_Toc2050843938 </w:instrText>
      </w:r>
      <w:r>
        <w:rPr>
          <w:sz w:val="32"/>
          <w:szCs w:val="32"/>
        </w:rPr>
        <w:fldChar w:fldCharType="separate"/>
      </w:r>
      <w:r>
        <w:rPr>
          <w:sz w:val="32"/>
          <w:szCs w:val="32"/>
        </w:rPr>
        <w:t>（五）坚持创新驱动，强化绿色交通科技支撑</w:t>
      </w:r>
      <w:r>
        <w:rPr>
          <w:sz w:val="32"/>
          <w:szCs w:val="32"/>
        </w:rPr>
        <w:tab/>
      </w:r>
      <w:r>
        <w:rPr>
          <w:sz w:val="32"/>
          <w:szCs w:val="32"/>
        </w:rPr>
        <w:fldChar w:fldCharType="begin"/>
      </w:r>
      <w:r>
        <w:rPr>
          <w:sz w:val="32"/>
          <w:szCs w:val="32"/>
        </w:rPr>
        <w:instrText xml:space="preserve"> PAGEREF _Toc2050843938 </w:instrText>
      </w:r>
      <w:r>
        <w:rPr>
          <w:sz w:val="32"/>
          <w:szCs w:val="32"/>
        </w:rPr>
        <w:fldChar w:fldCharType="separate"/>
      </w:r>
      <w:r>
        <w:rPr>
          <w:sz w:val="32"/>
          <w:szCs w:val="32"/>
        </w:rPr>
        <w:t xml:space="preserve"> 16</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_Toc385783007 </w:instrText>
      </w:r>
      <w:r>
        <w:rPr>
          <w:sz w:val="32"/>
          <w:szCs w:val="32"/>
        </w:rPr>
        <w:fldChar w:fldCharType="separate"/>
      </w:r>
      <w:r>
        <w:rPr>
          <w:sz w:val="32"/>
          <w:szCs w:val="32"/>
        </w:rPr>
        <w:t>（六）健全推进机制，完善绿色交通监管体系</w:t>
      </w:r>
      <w:r>
        <w:rPr>
          <w:sz w:val="32"/>
          <w:szCs w:val="32"/>
        </w:rPr>
        <w:tab/>
      </w:r>
      <w:r>
        <w:rPr>
          <w:sz w:val="32"/>
          <w:szCs w:val="32"/>
        </w:rPr>
        <w:fldChar w:fldCharType="begin"/>
      </w:r>
      <w:r>
        <w:rPr>
          <w:sz w:val="32"/>
          <w:szCs w:val="32"/>
        </w:rPr>
        <w:instrText xml:space="preserve"> PAGEREF _Toc385783007 </w:instrText>
      </w:r>
      <w:r>
        <w:rPr>
          <w:sz w:val="32"/>
          <w:szCs w:val="32"/>
        </w:rPr>
        <w:fldChar w:fldCharType="separate"/>
      </w:r>
      <w:r>
        <w:rPr>
          <w:sz w:val="32"/>
          <w:szCs w:val="32"/>
        </w:rPr>
        <w:t>17</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_Toc467728501 </w:instrText>
      </w:r>
      <w:r>
        <w:rPr>
          <w:sz w:val="32"/>
          <w:szCs w:val="32"/>
        </w:rPr>
        <w:fldChar w:fldCharType="separate"/>
      </w:r>
      <w:r>
        <w:rPr>
          <w:sz w:val="32"/>
          <w:szCs w:val="32"/>
        </w:rPr>
        <w:t>（七）完善合作机制，深化国际交流与合作</w:t>
      </w:r>
      <w:r>
        <w:rPr>
          <w:sz w:val="32"/>
          <w:szCs w:val="32"/>
        </w:rPr>
        <w:tab/>
      </w:r>
      <w:r>
        <w:rPr>
          <w:sz w:val="32"/>
          <w:szCs w:val="32"/>
        </w:rPr>
        <w:fldChar w:fldCharType="begin"/>
      </w:r>
      <w:r>
        <w:rPr>
          <w:sz w:val="32"/>
          <w:szCs w:val="32"/>
        </w:rPr>
        <w:instrText xml:space="preserve"> PAGEREF _Toc467728501 </w:instrText>
      </w:r>
      <w:r>
        <w:rPr>
          <w:sz w:val="32"/>
          <w:szCs w:val="32"/>
        </w:rPr>
        <w:fldChar w:fldCharType="separate"/>
      </w:r>
      <w:r>
        <w:rPr>
          <w:sz w:val="32"/>
          <w:szCs w:val="32"/>
        </w:rPr>
        <w:t xml:space="preserve">18 </w:t>
      </w:r>
      <w:r>
        <w:rPr>
          <w:sz w:val="32"/>
          <w:szCs w:val="32"/>
        </w:rPr>
        <w:fldChar w:fldCharType="end"/>
      </w:r>
      <w:r>
        <w:rPr>
          <w:sz w:val="32"/>
          <w:szCs w:val="32"/>
        </w:rPr>
        <w:fldChar w:fldCharType="end"/>
      </w:r>
    </w:p>
    <w:p>
      <w:pPr>
        <w:pStyle w:val="4"/>
        <w:tabs>
          <w:tab w:val="right" w:leader="dot" w:pos="8306"/>
        </w:tabs>
        <w:rPr>
          <w:sz w:val="32"/>
          <w:szCs w:val="32"/>
        </w:rPr>
      </w:pPr>
      <w:r>
        <w:rPr>
          <w:sz w:val="32"/>
          <w:szCs w:val="32"/>
        </w:rPr>
        <w:fldChar w:fldCharType="begin"/>
      </w:r>
      <w:r>
        <w:rPr>
          <w:sz w:val="32"/>
          <w:szCs w:val="32"/>
        </w:rPr>
        <w:instrText xml:space="preserve"> HYPERLINK \l _Toc1859716737 </w:instrText>
      </w:r>
      <w:r>
        <w:rPr>
          <w:sz w:val="32"/>
          <w:szCs w:val="32"/>
        </w:rPr>
        <w:fldChar w:fldCharType="separate"/>
      </w:r>
      <w:r>
        <w:rPr>
          <w:rFonts w:hint="eastAsia" w:ascii="黑体" w:hAnsi="黑体" w:eastAsia="黑体" w:cs="黑体"/>
          <w:sz w:val="32"/>
          <w:szCs w:val="32"/>
        </w:rPr>
        <w:t>四、保障措施</w:t>
      </w:r>
      <w:r>
        <w:rPr>
          <w:sz w:val="32"/>
          <w:szCs w:val="32"/>
        </w:rPr>
        <w:tab/>
      </w:r>
      <w:r>
        <w:rPr>
          <w:sz w:val="32"/>
          <w:szCs w:val="32"/>
        </w:rPr>
        <w:fldChar w:fldCharType="begin"/>
      </w:r>
      <w:r>
        <w:rPr>
          <w:sz w:val="32"/>
          <w:szCs w:val="32"/>
        </w:rPr>
        <w:instrText xml:space="preserve"> PAGEREF _Toc1859716737 </w:instrText>
      </w:r>
      <w:r>
        <w:rPr>
          <w:sz w:val="32"/>
          <w:szCs w:val="32"/>
        </w:rPr>
        <w:fldChar w:fldCharType="separate"/>
      </w:r>
      <w:r>
        <w:rPr>
          <w:sz w:val="32"/>
          <w:szCs w:val="32"/>
        </w:rPr>
        <w:t>18</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_Toc437830833 </w:instrText>
      </w:r>
      <w:r>
        <w:rPr>
          <w:sz w:val="32"/>
          <w:szCs w:val="32"/>
        </w:rPr>
        <w:fldChar w:fldCharType="separate"/>
      </w:r>
      <w:r>
        <w:rPr>
          <w:sz w:val="32"/>
          <w:szCs w:val="32"/>
        </w:rPr>
        <w:t>（一）加强组织领导</w:t>
      </w:r>
      <w:r>
        <w:rPr>
          <w:sz w:val="32"/>
          <w:szCs w:val="32"/>
        </w:rPr>
        <w:tab/>
      </w:r>
      <w:r>
        <w:rPr>
          <w:sz w:val="32"/>
          <w:szCs w:val="32"/>
        </w:rPr>
        <w:fldChar w:fldCharType="begin"/>
      </w:r>
      <w:r>
        <w:rPr>
          <w:sz w:val="32"/>
          <w:szCs w:val="32"/>
        </w:rPr>
        <w:instrText xml:space="preserve"> PAGEREF _Toc437830833 </w:instrText>
      </w:r>
      <w:r>
        <w:rPr>
          <w:sz w:val="32"/>
          <w:szCs w:val="32"/>
        </w:rPr>
        <w:fldChar w:fldCharType="separate"/>
      </w:r>
      <w:r>
        <w:rPr>
          <w:sz w:val="32"/>
          <w:szCs w:val="32"/>
        </w:rPr>
        <w:t>18</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_Toc1539606984 </w:instrText>
      </w:r>
      <w:r>
        <w:rPr>
          <w:sz w:val="32"/>
          <w:szCs w:val="32"/>
        </w:rPr>
        <w:fldChar w:fldCharType="separate"/>
      </w:r>
      <w:r>
        <w:rPr>
          <w:sz w:val="32"/>
          <w:szCs w:val="32"/>
        </w:rPr>
        <w:t>（二）创新支持政策</w:t>
      </w:r>
      <w:r>
        <w:rPr>
          <w:sz w:val="32"/>
          <w:szCs w:val="32"/>
        </w:rPr>
        <w:tab/>
      </w:r>
      <w:r>
        <w:rPr>
          <w:sz w:val="32"/>
          <w:szCs w:val="32"/>
        </w:rPr>
        <w:fldChar w:fldCharType="begin"/>
      </w:r>
      <w:r>
        <w:rPr>
          <w:sz w:val="32"/>
          <w:szCs w:val="32"/>
        </w:rPr>
        <w:instrText xml:space="preserve"> PAGEREF _Toc1539606984 </w:instrText>
      </w:r>
      <w:r>
        <w:rPr>
          <w:sz w:val="32"/>
          <w:szCs w:val="32"/>
        </w:rPr>
        <w:fldChar w:fldCharType="separate"/>
      </w:r>
      <w:r>
        <w:rPr>
          <w:sz w:val="32"/>
          <w:szCs w:val="32"/>
        </w:rPr>
        <w:t>19</w:t>
      </w:r>
      <w:r>
        <w:rPr>
          <w:sz w:val="32"/>
          <w:szCs w:val="32"/>
        </w:rPr>
        <w:fldChar w:fldCharType="end"/>
      </w:r>
      <w:r>
        <w:rPr>
          <w:sz w:val="32"/>
          <w:szCs w:val="32"/>
        </w:rPr>
        <w:fldChar w:fldCharType="end"/>
      </w:r>
    </w:p>
    <w:p>
      <w:pPr>
        <w:pStyle w:val="5"/>
        <w:tabs>
          <w:tab w:val="right" w:leader="dot" w:pos="8306"/>
        </w:tabs>
        <w:ind w:left="600"/>
        <w:rPr>
          <w:sz w:val="32"/>
          <w:szCs w:val="32"/>
        </w:rPr>
      </w:pPr>
      <w:r>
        <w:rPr>
          <w:sz w:val="32"/>
          <w:szCs w:val="32"/>
        </w:rPr>
        <w:fldChar w:fldCharType="begin"/>
      </w:r>
      <w:r>
        <w:rPr>
          <w:sz w:val="32"/>
          <w:szCs w:val="32"/>
        </w:rPr>
        <w:instrText xml:space="preserve"> HYPERLINK \l _Toc1547830206 </w:instrText>
      </w:r>
      <w:r>
        <w:rPr>
          <w:sz w:val="32"/>
          <w:szCs w:val="32"/>
        </w:rPr>
        <w:fldChar w:fldCharType="separate"/>
      </w:r>
      <w:r>
        <w:rPr>
          <w:sz w:val="32"/>
          <w:szCs w:val="32"/>
        </w:rPr>
        <w:t>（三）加大宣贯培训</w:t>
      </w:r>
      <w:r>
        <w:rPr>
          <w:sz w:val="32"/>
          <w:szCs w:val="32"/>
        </w:rPr>
        <w:tab/>
      </w:r>
      <w:r>
        <w:rPr>
          <w:sz w:val="32"/>
          <w:szCs w:val="32"/>
        </w:rPr>
        <w:fldChar w:fldCharType="begin"/>
      </w:r>
      <w:r>
        <w:rPr>
          <w:sz w:val="32"/>
          <w:szCs w:val="32"/>
        </w:rPr>
        <w:instrText xml:space="preserve"> PAGEREF _Toc1547830206 </w:instrText>
      </w:r>
      <w:r>
        <w:rPr>
          <w:sz w:val="32"/>
          <w:szCs w:val="32"/>
        </w:rPr>
        <w:fldChar w:fldCharType="separate"/>
      </w:r>
      <w:r>
        <w:rPr>
          <w:sz w:val="32"/>
          <w:szCs w:val="32"/>
        </w:rPr>
        <w:t>19</w:t>
      </w:r>
      <w:r>
        <w:rPr>
          <w:sz w:val="32"/>
          <w:szCs w:val="32"/>
        </w:rPr>
        <w:fldChar w:fldCharType="end"/>
      </w:r>
      <w:r>
        <w:rPr>
          <w:sz w:val="32"/>
          <w:szCs w:val="32"/>
        </w:rPr>
        <w:fldChar w:fldCharType="end"/>
      </w:r>
    </w:p>
    <w:p>
      <w:pPr>
        <w:pStyle w:val="8"/>
        <w:tabs>
          <w:tab w:val="right" w:leader="dot" w:pos="8306"/>
        </w:tabs>
        <w:ind w:left="600"/>
        <w:jc w:val="center"/>
        <w:rPr>
          <w:rFonts w:eastAsia="方正小标宋_GBK"/>
          <w:szCs w:val="44"/>
        </w:rPr>
        <w:sectPr>
          <w:pgSz w:w="11906" w:h="16838"/>
          <w:pgMar w:top="1440" w:right="1800" w:bottom="1440" w:left="1800" w:header="851" w:footer="992" w:gutter="0"/>
          <w:pgNumType w:fmt="numberInDash"/>
          <w:cols w:space="720" w:num="1"/>
          <w:docGrid w:type="lines" w:linePitch="312" w:charSpace="0"/>
        </w:sectPr>
      </w:pPr>
      <w:r>
        <w:rPr>
          <w:rFonts w:eastAsia="仿宋_GB2312"/>
          <w:sz w:val="32"/>
          <w:szCs w:val="32"/>
        </w:rPr>
        <w:fldChar w:fldCharType="end"/>
      </w:r>
    </w:p>
    <w:p>
      <w:pPr>
        <w:pStyle w:val="8"/>
        <w:tabs>
          <w:tab w:val="right" w:leader="dot" w:pos="8306"/>
        </w:tabs>
        <w:ind w:left="600"/>
        <w:jc w:val="center"/>
        <w:rPr>
          <w:rFonts w:eastAsia="方正小标宋_GBK"/>
          <w:szCs w:val="44"/>
        </w:rPr>
      </w:pPr>
    </w:p>
    <w:p>
      <w:pPr>
        <w:spacing w:line="580" w:lineRule="exact"/>
        <w:ind w:firstLine="640" w:firstLineChars="200"/>
        <w:rPr>
          <w:sz w:val="32"/>
        </w:rPr>
        <w:sectPr>
          <w:type w:val="continuous"/>
          <w:pgSz w:w="11906" w:h="16838"/>
          <w:pgMar w:top="1440" w:right="1800" w:bottom="1440" w:left="1800" w:header="851" w:footer="992" w:gutter="0"/>
          <w:pgNumType w:fmt="numberInDash"/>
          <w:cols w:space="720" w:num="1"/>
          <w:docGrid w:type="lines" w:linePitch="312" w:charSpace="0"/>
        </w:sectPr>
      </w:pPr>
      <w:bookmarkStart w:id="0" w:name="_Toc16872"/>
      <w:bookmarkStart w:id="1" w:name="_Toc56103137"/>
      <w:bookmarkStart w:id="2" w:name="_Toc16236"/>
      <w:bookmarkStart w:id="3" w:name="_Toc58280677"/>
      <w:bookmarkStart w:id="4" w:name="_Toc445795212"/>
    </w:p>
    <w:p>
      <w:pPr>
        <w:spacing w:line="580" w:lineRule="exact"/>
        <w:ind w:firstLine="640" w:firstLineChars="200"/>
        <w:rPr>
          <w:sz w:val="32"/>
        </w:rPr>
        <w:sectPr>
          <w:type w:val="continuous"/>
          <w:pgSz w:w="11906" w:h="16838"/>
          <w:pgMar w:top="1440" w:right="1800" w:bottom="1440" w:left="1800" w:header="851" w:footer="992" w:gutter="0"/>
          <w:pgNumType w:fmt="numberInDash"/>
          <w:cols w:space="720" w:num="1"/>
          <w:docGrid w:type="lines" w:linePitch="312" w:charSpace="0"/>
        </w:sectPr>
      </w:pPr>
    </w:p>
    <w:p>
      <w:pPr>
        <w:spacing w:line="580" w:lineRule="exact"/>
        <w:ind w:firstLine="640" w:firstLineChars="200"/>
        <w:rPr>
          <w:sz w:val="32"/>
        </w:rPr>
      </w:pPr>
      <w:r>
        <w:rPr>
          <w:sz w:val="32"/>
        </w:rPr>
        <w:t>为贯彻党的十九届五中全会精神，落实《中华人民共和国国民经济和社会发展第十四个五年规划和2035年远景目标纲要》要求，按照《交通强国建设纲要》《国家综合立体交通网规划纲要》相关战略部署，制定本规划。</w:t>
      </w:r>
    </w:p>
    <w:p>
      <w:pPr>
        <w:pStyle w:val="2"/>
        <w:spacing w:line="580" w:lineRule="exact"/>
        <w:ind w:firstLine="640"/>
      </w:pPr>
      <w:bookmarkStart w:id="5" w:name="_Toc31394"/>
      <w:bookmarkStart w:id="6" w:name="_Toc1474271826"/>
      <w:bookmarkStart w:id="7" w:name="_Toc555397923"/>
      <w:bookmarkStart w:id="8" w:name="_Toc1620346311"/>
      <w:bookmarkStart w:id="9" w:name="_Toc1879342810"/>
      <w:bookmarkStart w:id="10" w:name="_Toc391383461"/>
      <w:bookmarkStart w:id="11" w:name="_Toc1327684308"/>
      <w:bookmarkStart w:id="12" w:name="_Toc73866707"/>
      <w:bookmarkStart w:id="13" w:name="_Toc1659397009"/>
      <w:r>
        <w:t>一、规划基础</w:t>
      </w:r>
      <w:bookmarkEnd w:id="0"/>
      <w:bookmarkEnd w:id="1"/>
      <w:bookmarkEnd w:id="2"/>
      <w:bookmarkEnd w:id="3"/>
      <w:bookmarkEnd w:id="5"/>
      <w:bookmarkEnd w:id="6"/>
      <w:bookmarkEnd w:id="7"/>
      <w:bookmarkEnd w:id="8"/>
      <w:bookmarkEnd w:id="9"/>
      <w:bookmarkEnd w:id="10"/>
      <w:bookmarkEnd w:id="11"/>
      <w:bookmarkEnd w:id="12"/>
      <w:bookmarkEnd w:id="13"/>
    </w:p>
    <w:bookmarkEnd w:id="4"/>
    <w:p>
      <w:pPr>
        <w:pStyle w:val="3"/>
        <w:spacing w:line="580" w:lineRule="exact"/>
        <w:ind w:firstLine="643"/>
        <w:rPr>
          <w:rFonts w:ascii="Times New Roman" w:hAnsi="Times New Roman"/>
        </w:rPr>
      </w:pPr>
      <w:bookmarkStart w:id="14" w:name="_Toc73866708"/>
      <w:bookmarkStart w:id="15" w:name="_Toc1361750797"/>
      <w:bookmarkStart w:id="16" w:name="_Toc904687705"/>
      <w:bookmarkStart w:id="17" w:name="_Toc854352133"/>
      <w:bookmarkStart w:id="18" w:name="_Toc2072051671"/>
      <w:bookmarkStart w:id="19" w:name="_Toc1527251098"/>
      <w:bookmarkStart w:id="20" w:name="_Toc56103138"/>
      <w:bookmarkStart w:id="21" w:name="_Toc23515"/>
      <w:bookmarkStart w:id="22" w:name="_Toc130218648"/>
      <w:bookmarkStart w:id="23" w:name="_Toc667645601"/>
      <w:bookmarkStart w:id="24" w:name="_Toc58280678"/>
      <w:bookmarkStart w:id="25" w:name="_Toc38954186"/>
      <w:bookmarkStart w:id="26" w:name="_Toc56103143"/>
      <w:bookmarkStart w:id="27" w:name="_Toc58280683"/>
      <w:bookmarkStart w:id="28" w:name="_Toc445795213"/>
      <w:r>
        <w:rPr>
          <w:rFonts w:ascii="Times New Roman" w:hAnsi="Times New Roman"/>
        </w:rPr>
        <w:t>（一）发展成效。</w:t>
      </w:r>
      <w:bookmarkEnd w:id="14"/>
      <w:bookmarkEnd w:id="15"/>
      <w:bookmarkEnd w:id="16"/>
      <w:bookmarkEnd w:id="17"/>
      <w:bookmarkEnd w:id="18"/>
      <w:bookmarkEnd w:id="19"/>
      <w:bookmarkEnd w:id="20"/>
      <w:bookmarkEnd w:id="21"/>
      <w:bookmarkEnd w:id="22"/>
      <w:bookmarkEnd w:id="23"/>
      <w:bookmarkEnd w:id="24"/>
    </w:p>
    <w:p>
      <w:pPr>
        <w:spacing w:line="580" w:lineRule="exact"/>
        <w:ind w:firstLine="640" w:firstLineChars="200"/>
        <w:rPr>
          <w:sz w:val="32"/>
        </w:rPr>
      </w:pPr>
      <w:bookmarkStart w:id="29" w:name="_Toc41288711"/>
      <w:bookmarkStart w:id="30" w:name="_Toc38458088"/>
      <w:bookmarkStart w:id="31" w:name="_Toc39910551"/>
      <w:bookmarkStart w:id="32" w:name="_Toc37228191"/>
      <w:bookmarkStart w:id="33" w:name="_Toc29110919"/>
      <w:bookmarkStart w:id="34" w:name="_Toc38473029"/>
      <w:bookmarkStart w:id="35" w:name="_Toc38954185"/>
      <w:bookmarkStart w:id="36" w:name="_Toc39785052"/>
      <w:bookmarkStart w:id="37" w:name="_Toc39784878"/>
      <w:r>
        <w:rPr>
          <w:sz w:val="32"/>
        </w:rPr>
        <w:t>“十三五”以来，交通运输行业认真贯彻习近平生态文明思想，全面深入推进交通运输绿色发展，取得了积极成效。</w:t>
      </w:r>
      <w:bookmarkEnd w:id="29"/>
    </w:p>
    <w:p>
      <w:pPr>
        <w:spacing w:line="580" w:lineRule="exact"/>
        <w:ind w:firstLine="643" w:firstLineChars="200"/>
        <w:rPr>
          <w:sz w:val="32"/>
        </w:rPr>
      </w:pPr>
      <w:r>
        <w:rPr>
          <w:b/>
          <w:bCs/>
          <w:kern w:val="0"/>
          <w:sz w:val="32"/>
        </w:rPr>
        <w:t>——</w:t>
      </w:r>
      <w:r>
        <w:rPr>
          <w:b/>
          <w:bCs/>
          <w:sz w:val="32"/>
        </w:rPr>
        <w:t>加快推进节能降碳</w:t>
      </w:r>
      <w:r>
        <w:rPr>
          <w:sz w:val="32"/>
        </w:rPr>
        <w:t>。持续加快新能源和清洁能源应用，</w:t>
      </w:r>
      <w:r>
        <w:rPr>
          <w:kern w:val="0"/>
          <w:sz w:val="32"/>
        </w:rPr>
        <w:t>新能源城市公交、出租和城市物流配送汽车总数达到100余万辆</w:t>
      </w:r>
      <w:r>
        <w:rPr>
          <w:sz w:val="32"/>
        </w:rPr>
        <w:t>，现有LNG动力船舶290余艘，全国港口岸电设施覆盖泊位约7500个，</w:t>
      </w:r>
      <w:r>
        <w:rPr>
          <w:kern w:val="0"/>
          <w:sz w:val="32"/>
        </w:rPr>
        <w:t>高速公路服务区</w:t>
      </w:r>
      <w:r>
        <w:rPr>
          <w:sz w:val="32"/>
        </w:rPr>
        <w:t>充电桩超过1万个。与2015年相比，营运货车、营运船舶二氧化碳排放强度分别下降8.4%和7.1%，港口生产二氧化碳排放强度下降10.2%。</w:t>
      </w:r>
    </w:p>
    <w:p>
      <w:pPr>
        <w:spacing w:line="580" w:lineRule="exact"/>
        <w:ind w:firstLine="643" w:firstLineChars="200"/>
        <w:rPr>
          <w:sz w:val="32"/>
        </w:rPr>
      </w:pPr>
      <w:r>
        <w:rPr>
          <w:b/>
          <w:bCs/>
          <w:kern w:val="0"/>
          <w:sz w:val="32"/>
        </w:rPr>
        <w:t>——</w:t>
      </w:r>
      <w:r>
        <w:rPr>
          <w:b/>
          <w:bCs/>
          <w:sz w:val="32"/>
        </w:rPr>
        <w:t>优化调整运输结构</w:t>
      </w:r>
      <w:r>
        <w:rPr>
          <w:sz w:val="32"/>
        </w:rPr>
        <w:t>。</w:t>
      </w:r>
      <w:r>
        <w:rPr>
          <w:sz w:val="32"/>
          <w:szCs w:val="32"/>
        </w:rPr>
        <w:t>深入推进大宗货物及中长距离货物运输</w:t>
      </w:r>
      <w:r>
        <w:rPr>
          <w:rFonts w:hint="eastAsia"/>
          <w:sz w:val="32"/>
          <w:szCs w:val="32"/>
          <w:lang w:val="en"/>
        </w:rPr>
        <w:t>“</w:t>
      </w:r>
      <w:r>
        <w:rPr>
          <w:sz w:val="32"/>
          <w:szCs w:val="32"/>
        </w:rPr>
        <w:t>公转铁</w:t>
      </w:r>
      <w:r>
        <w:rPr>
          <w:rFonts w:hint="eastAsia"/>
          <w:sz w:val="32"/>
          <w:szCs w:val="32"/>
          <w:lang w:val="en"/>
        </w:rPr>
        <w:t>”</w:t>
      </w:r>
      <w:r>
        <w:rPr>
          <w:rFonts w:hint="eastAsia"/>
          <w:sz w:val="32"/>
          <w:szCs w:val="32"/>
        </w:rPr>
        <w:t>“</w:t>
      </w:r>
      <w:r>
        <w:rPr>
          <w:sz w:val="32"/>
          <w:szCs w:val="32"/>
        </w:rPr>
        <w:t>公转水</w:t>
      </w:r>
      <w:r>
        <w:rPr>
          <w:rFonts w:hint="eastAsia"/>
          <w:sz w:val="32"/>
          <w:szCs w:val="32"/>
        </w:rPr>
        <w:t>”</w:t>
      </w:r>
      <w:r>
        <w:rPr>
          <w:sz w:val="32"/>
          <w:szCs w:val="32"/>
        </w:rPr>
        <w:t>，</w:t>
      </w:r>
      <w:r>
        <w:rPr>
          <w:sz w:val="32"/>
        </w:rPr>
        <w:t>加快集疏港铁路和铁路专用线建设，2020年</w:t>
      </w:r>
      <w:r>
        <w:rPr>
          <w:sz w:val="32"/>
          <w:szCs w:val="32"/>
        </w:rPr>
        <w:t>重点地区沿海主要港口矿石疏港采用</w:t>
      </w:r>
      <w:r>
        <w:rPr>
          <w:sz w:val="32"/>
        </w:rPr>
        <w:t>铁路、水运和皮带运输的比例比2017年提高约20%</w:t>
      </w:r>
      <w:r>
        <w:rPr>
          <w:rFonts w:hint="eastAsia"/>
          <w:sz w:val="32"/>
        </w:rPr>
        <w:t>，</w:t>
      </w:r>
      <w:r>
        <w:rPr>
          <w:sz w:val="32"/>
        </w:rPr>
        <w:t>2017</w:t>
      </w:r>
      <w:r>
        <w:rPr>
          <w:rFonts w:hint="eastAsia" w:ascii="宋体" w:hAnsi="宋体" w:eastAsia="宋体" w:cs="宋体"/>
          <w:sz w:val="32"/>
        </w:rPr>
        <w:t>—</w:t>
      </w:r>
      <w:r>
        <w:rPr>
          <w:rFonts w:hint="eastAsia"/>
          <w:sz w:val="32"/>
        </w:rPr>
        <w:t>2020</w:t>
      </w:r>
      <w:r>
        <w:rPr>
          <w:sz w:val="32"/>
        </w:rPr>
        <w:t>年全国港口集装箱铁水联运量</w:t>
      </w:r>
      <w:r>
        <w:rPr>
          <w:rFonts w:hint="eastAsia"/>
          <w:sz w:val="32"/>
        </w:rPr>
        <w:t>年均</w:t>
      </w:r>
      <w:r>
        <w:rPr>
          <w:sz w:val="32"/>
        </w:rPr>
        <w:t>增长</w:t>
      </w:r>
      <w:r>
        <w:rPr>
          <w:rFonts w:hint="eastAsia"/>
          <w:sz w:val="32"/>
        </w:rPr>
        <w:t>25.</w:t>
      </w:r>
      <w:r>
        <w:rPr>
          <w:sz w:val="32"/>
          <w:lang w:val="en"/>
        </w:rPr>
        <w:t>8</w:t>
      </w:r>
      <w:r>
        <w:rPr>
          <w:sz w:val="32"/>
        </w:rPr>
        <w:t>%。先后组织实施三批共70个多式联运示范工程，两批共46个城市绿色货运配送示范工程，三批共87个城市的国家公交都市建设示范工程。</w:t>
      </w:r>
    </w:p>
    <w:p>
      <w:pPr>
        <w:spacing w:line="580" w:lineRule="exact"/>
        <w:ind w:firstLine="643" w:firstLineChars="200"/>
        <w:rPr>
          <w:kern w:val="0"/>
          <w:sz w:val="32"/>
        </w:rPr>
      </w:pPr>
      <w:r>
        <w:rPr>
          <w:b/>
          <w:bCs/>
          <w:kern w:val="0"/>
          <w:sz w:val="32"/>
        </w:rPr>
        <w:t>——</w:t>
      </w:r>
      <w:r>
        <w:rPr>
          <w:b/>
          <w:bCs/>
          <w:sz w:val="32"/>
        </w:rPr>
        <w:t>深入推进污染防治</w:t>
      </w:r>
      <w:r>
        <w:rPr>
          <w:sz w:val="32"/>
        </w:rPr>
        <w:t>。扩大船舶排放控制区范围并加严排放控制要求，</w:t>
      </w:r>
      <w:r>
        <w:rPr>
          <w:rFonts w:hint="eastAsia"/>
          <w:sz w:val="32"/>
        </w:rPr>
        <w:t>2020年，</w:t>
      </w:r>
      <w:r>
        <w:rPr>
          <w:sz w:val="32"/>
        </w:rPr>
        <w:t>京津冀、长三角、珠三角等区域船舶硫氧化物、颗粒物年排放总量比2015年分别下降80%和75%。沿海和内河港口完成</w:t>
      </w:r>
      <w:r>
        <w:rPr>
          <w:kern w:val="0"/>
          <w:sz w:val="32"/>
        </w:rPr>
        <w:t>船舶</w:t>
      </w:r>
      <w:r>
        <w:rPr>
          <w:sz w:val="32"/>
        </w:rPr>
        <w:t>污染物接收设施建设任务，并</w:t>
      </w:r>
      <w:r>
        <w:rPr>
          <w:kern w:val="0"/>
          <w:sz w:val="32"/>
        </w:rPr>
        <w:t>与城市公共转运、处置设施衔接。会同</w:t>
      </w:r>
      <w:r>
        <w:rPr>
          <w:kern w:val="0"/>
          <w:sz w:val="32"/>
          <w:szCs w:val="32"/>
        </w:rPr>
        <w:t>相关部门</w:t>
      </w:r>
      <w:r>
        <w:rPr>
          <w:kern w:val="0"/>
          <w:sz w:val="32"/>
        </w:rPr>
        <w:t>推动建立汽车排放检验与维护（I/M）制度，在京津冀及周边和汾渭平原地区逐步淘汰国三及以下营运柴油货车。</w:t>
      </w:r>
    </w:p>
    <w:p>
      <w:pPr>
        <w:spacing w:line="580" w:lineRule="exact"/>
        <w:ind w:firstLine="643" w:firstLineChars="200"/>
        <w:rPr>
          <w:kern w:val="0"/>
          <w:sz w:val="32"/>
        </w:rPr>
      </w:pPr>
      <w:r>
        <w:rPr>
          <w:b/>
          <w:bCs/>
          <w:kern w:val="0"/>
          <w:sz w:val="32"/>
        </w:rPr>
        <w:t>——</w:t>
      </w:r>
      <w:r>
        <w:rPr>
          <w:b/>
          <w:bCs/>
          <w:sz w:val="32"/>
        </w:rPr>
        <w:t>加强生态保护修复</w:t>
      </w:r>
      <w:r>
        <w:rPr>
          <w:sz w:val="32"/>
        </w:rPr>
        <w:t>。</w:t>
      </w:r>
      <w:r>
        <w:rPr>
          <w:kern w:val="0"/>
          <w:sz w:val="32"/>
        </w:rPr>
        <w:t>建成了20条绿色公路主题性试点工程，开展了33条绿色公路典型示范工程，公路建设与生态环境更加融合协调。建成</w:t>
      </w:r>
      <w:r>
        <w:rPr>
          <w:kern w:val="0"/>
          <w:sz w:val="32"/>
          <w:szCs w:val="32"/>
        </w:rPr>
        <w:t>了11个绿色港口主题性试点工程</w:t>
      </w:r>
      <w:r>
        <w:rPr>
          <w:rFonts w:hint="eastAsia"/>
          <w:kern w:val="0"/>
          <w:sz w:val="32"/>
          <w:szCs w:val="32"/>
        </w:rPr>
        <w:t>、</w:t>
      </w:r>
      <w:r>
        <w:rPr>
          <w:kern w:val="0"/>
          <w:sz w:val="32"/>
        </w:rPr>
        <w:t>荆江生态航道和长江南京以下12.5米深水航道等一批绿色航道工程，在泰州、岳阳等地开展了长江航道疏浚砂综合利用工作。支持完善交通服务设施旅游服务功能，各地建设了一批特色突出的旅游公路</w:t>
      </w:r>
      <w:r>
        <w:rPr>
          <w:rFonts w:hint="eastAsia"/>
          <w:kern w:val="0"/>
          <w:sz w:val="32"/>
        </w:rPr>
        <w:t>、旅游航道</w:t>
      </w:r>
      <w:r>
        <w:rPr>
          <w:kern w:val="0"/>
          <w:sz w:val="32"/>
          <w:szCs w:val="32"/>
        </w:rPr>
        <w:t>和旅游</w:t>
      </w:r>
      <w:r>
        <w:rPr>
          <w:kern w:val="0"/>
          <w:sz w:val="32"/>
        </w:rPr>
        <w:t>服务区。</w:t>
      </w:r>
    </w:p>
    <w:p>
      <w:pPr>
        <w:spacing w:line="580" w:lineRule="exact"/>
        <w:ind w:firstLine="643" w:firstLineChars="200"/>
        <w:rPr>
          <w:sz w:val="32"/>
        </w:rPr>
      </w:pPr>
      <w:r>
        <w:rPr>
          <w:b/>
          <w:bCs/>
          <w:kern w:val="0"/>
          <w:sz w:val="32"/>
        </w:rPr>
        <w:t>——</w:t>
      </w:r>
      <w:r>
        <w:rPr>
          <w:b/>
          <w:bCs/>
          <w:sz w:val="32"/>
        </w:rPr>
        <w:t>完善支撑保障能力</w:t>
      </w:r>
      <w:r>
        <w:rPr>
          <w:sz w:val="32"/>
        </w:rPr>
        <w:t>。</w:t>
      </w:r>
      <w:bookmarkEnd w:id="30"/>
      <w:bookmarkEnd w:id="31"/>
      <w:bookmarkEnd w:id="32"/>
      <w:bookmarkEnd w:id="33"/>
      <w:bookmarkEnd w:id="34"/>
      <w:bookmarkEnd w:id="35"/>
      <w:bookmarkEnd w:id="36"/>
      <w:bookmarkEnd w:id="37"/>
      <w:r>
        <w:rPr>
          <w:sz w:val="32"/>
        </w:rPr>
        <w:t>出台</w:t>
      </w:r>
      <w:r>
        <w:rPr>
          <w:sz w:val="32"/>
          <w:szCs w:val="32"/>
        </w:rPr>
        <w:t>《港口和船舶岸电管理办法》等规章</w:t>
      </w:r>
      <w:r>
        <w:rPr>
          <w:sz w:val="32"/>
        </w:rPr>
        <w:t>，在节能降碳、生态保护、污染防治等领域制定了62项绿色交通相关标准规范。发布两批交通运输行业重点节能低碳技术推广目录，其中12项被纳入国家重点节能低碳技术目录，30多项实现规模化应用。强化绿色交通国际交流合作，发布《中国交通的可持续发展》白皮书，积极参与航运温室气体减排谈判。</w:t>
      </w:r>
    </w:p>
    <w:bookmarkEnd w:id="25"/>
    <w:bookmarkEnd w:id="26"/>
    <w:bookmarkEnd w:id="27"/>
    <w:p>
      <w:pPr>
        <w:spacing w:line="580" w:lineRule="exact"/>
        <w:ind w:firstLine="640" w:firstLineChars="200"/>
        <w:rPr>
          <w:sz w:val="32"/>
        </w:rPr>
      </w:pPr>
      <w:r>
        <w:rPr>
          <w:sz w:val="32"/>
        </w:rPr>
        <w:t>虽然交通运输行业绿色发展已取得积极成效，但仍存在一些困难和问题，交通运输结构尚需进一步优化，行业污染防治和碳减排面临一些瓶颈</w:t>
      </w:r>
      <w:r>
        <w:rPr>
          <w:rFonts w:hint="eastAsia"/>
          <w:sz w:val="32"/>
        </w:rPr>
        <w:t>制约</w:t>
      </w:r>
      <w:r>
        <w:rPr>
          <w:sz w:val="32"/>
        </w:rPr>
        <w:t>，绿色交通推进手段尚不完善。</w:t>
      </w:r>
    </w:p>
    <w:p>
      <w:pPr>
        <w:pStyle w:val="3"/>
        <w:spacing w:line="580" w:lineRule="exact"/>
        <w:ind w:firstLine="643"/>
        <w:rPr>
          <w:rFonts w:ascii="Times New Roman" w:hAnsi="Times New Roman"/>
        </w:rPr>
      </w:pPr>
      <w:bookmarkStart w:id="38" w:name="_Toc1583373853"/>
      <w:bookmarkStart w:id="39" w:name="_Toc1308716731"/>
      <w:bookmarkStart w:id="40" w:name="_Toc1688857796"/>
      <w:bookmarkStart w:id="41" w:name="_Toc56103144"/>
      <w:bookmarkStart w:id="42" w:name="_Toc158704747"/>
      <w:bookmarkStart w:id="43" w:name="_Toc58280684"/>
      <w:bookmarkStart w:id="44" w:name="_Toc1015684744"/>
      <w:bookmarkStart w:id="45" w:name="_Toc477825931"/>
      <w:bookmarkStart w:id="46" w:name="_Toc14926"/>
      <w:bookmarkStart w:id="47" w:name="_Toc73866710"/>
      <w:bookmarkStart w:id="48" w:name="_Toc676904718"/>
      <w:r>
        <w:rPr>
          <w:rFonts w:ascii="Times New Roman" w:hAnsi="Times New Roman"/>
        </w:rPr>
        <w:t>（二）形势要求</w:t>
      </w:r>
      <w:bookmarkEnd w:id="28"/>
      <w:r>
        <w:rPr>
          <w:rFonts w:ascii="Times New Roman" w:hAnsi="Times New Roman"/>
        </w:rPr>
        <w:t>。</w:t>
      </w:r>
      <w:bookmarkEnd w:id="38"/>
      <w:bookmarkEnd w:id="39"/>
      <w:bookmarkEnd w:id="40"/>
      <w:bookmarkEnd w:id="41"/>
      <w:bookmarkEnd w:id="42"/>
      <w:bookmarkEnd w:id="43"/>
      <w:bookmarkEnd w:id="44"/>
      <w:bookmarkEnd w:id="45"/>
      <w:bookmarkEnd w:id="46"/>
      <w:bookmarkEnd w:id="47"/>
      <w:bookmarkEnd w:id="48"/>
    </w:p>
    <w:p>
      <w:pPr>
        <w:spacing w:line="580" w:lineRule="exact"/>
        <w:ind w:firstLine="640" w:firstLineChars="200"/>
        <w:rPr>
          <w:sz w:val="32"/>
          <w:szCs w:val="32"/>
        </w:rPr>
      </w:pPr>
      <w:r>
        <w:rPr>
          <w:sz w:val="32"/>
          <w:szCs w:val="32"/>
        </w:rPr>
        <w:t>“十四五”时期，我国生态文明建设进入以降碳为重点战略方向、推动减污降碳协同增效、促进经济社会发展全面绿色转型，实现生态环境质量改善由量变到质变的关键时期。交通运输进入加快建设交通强国、推动交通运输高质量发展的新阶段，服务国家碳达峰碳中和目标，深入打好污染防治攻坚战，必须完整、准确、全面贯彻新发展理念，统筹污染治理、生态保护、应对气候变化，采取更加强有力的措施，大幅提升交通运输绿色发展水平，不断降低二氧化碳排放强度、削减主要污染物排放总量，加快形成绿色低碳运输方式。</w:t>
      </w:r>
      <w:bookmarkStart w:id="49" w:name="_Toc445795214"/>
    </w:p>
    <w:p>
      <w:pPr>
        <w:pStyle w:val="2"/>
        <w:spacing w:line="580" w:lineRule="exact"/>
        <w:ind w:firstLine="640"/>
      </w:pPr>
      <w:bookmarkStart w:id="50" w:name="_Toc58280689"/>
      <w:bookmarkStart w:id="51" w:name="_Toc1956356447"/>
      <w:bookmarkStart w:id="52" w:name="_Toc824861044"/>
      <w:bookmarkStart w:id="53" w:name="_Toc73866711"/>
      <w:bookmarkStart w:id="54" w:name="_Toc1982022074"/>
      <w:bookmarkStart w:id="55" w:name="_Toc56103149"/>
      <w:bookmarkStart w:id="56" w:name="_Toc221498228"/>
      <w:bookmarkStart w:id="57" w:name="_Toc14928"/>
      <w:bookmarkStart w:id="58" w:name="_Toc1204183788"/>
      <w:bookmarkStart w:id="59" w:name="_Toc193648356"/>
      <w:bookmarkStart w:id="60" w:name="_Toc1812652584"/>
      <w:r>
        <w:t>二、总体</w:t>
      </w:r>
      <w:bookmarkEnd w:id="49"/>
      <w:r>
        <w:t>要求</w:t>
      </w:r>
      <w:bookmarkEnd w:id="50"/>
      <w:bookmarkEnd w:id="51"/>
      <w:bookmarkEnd w:id="52"/>
      <w:bookmarkEnd w:id="53"/>
      <w:bookmarkEnd w:id="54"/>
      <w:bookmarkEnd w:id="55"/>
      <w:bookmarkEnd w:id="56"/>
      <w:bookmarkEnd w:id="57"/>
      <w:bookmarkEnd w:id="58"/>
      <w:bookmarkEnd w:id="59"/>
      <w:bookmarkEnd w:id="60"/>
    </w:p>
    <w:p>
      <w:pPr>
        <w:pStyle w:val="3"/>
        <w:spacing w:line="580" w:lineRule="exact"/>
        <w:ind w:firstLine="643"/>
        <w:rPr>
          <w:rFonts w:ascii="Times New Roman" w:hAnsi="Times New Roman"/>
        </w:rPr>
      </w:pPr>
      <w:bookmarkStart w:id="61" w:name="_Toc1336709615"/>
      <w:bookmarkStart w:id="62" w:name="_Toc1635141503"/>
      <w:bookmarkStart w:id="63" w:name="_Toc56103150"/>
      <w:bookmarkStart w:id="64" w:name="_Toc58280690"/>
      <w:bookmarkStart w:id="65" w:name="_Toc73866712"/>
      <w:bookmarkStart w:id="66" w:name="_Toc17196"/>
      <w:bookmarkStart w:id="67" w:name="_Toc1376342592"/>
      <w:bookmarkStart w:id="68" w:name="_Toc52047826"/>
      <w:bookmarkStart w:id="69" w:name="_Toc1933080283"/>
      <w:bookmarkStart w:id="70" w:name="_Toc1488138614"/>
      <w:bookmarkStart w:id="71" w:name="_Toc1224029959"/>
      <w:bookmarkStart w:id="72" w:name="_Toc445795215"/>
      <w:r>
        <w:rPr>
          <w:rFonts w:ascii="Times New Roman" w:hAnsi="Times New Roman"/>
        </w:rPr>
        <w:t>（一）指导思想。</w:t>
      </w:r>
      <w:bookmarkEnd w:id="61"/>
      <w:bookmarkEnd w:id="62"/>
      <w:bookmarkEnd w:id="63"/>
      <w:bookmarkEnd w:id="64"/>
      <w:bookmarkEnd w:id="65"/>
      <w:bookmarkEnd w:id="66"/>
      <w:bookmarkEnd w:id="67"/>
      <w:bookmarkEnd w:id="68"/>
      <w:bookmarkEnd w:id="69"/>
      <w:bookmarkEnd w:id="70"/>
      <w:bookmarkEnd w:id="71"/>
    </w:p>
    <w:p>
      <w:pPr>
        <w:widowControl/>
        <w:spacing w:line="580" w:lineRule="exact"/>
        <w:ind w:firstLine="640" w:firstLineChars="200"/>
        <w:rPr>
          <w:kern w:val="0"/>
          <w:sz w:val="32"/>
        </w:rPr>
      </w:pPr>
      <w:r>
        <w:rPr>
          <w:kern w:val="0"/>
          <w:sz w:val="32"/>
        </w:rPr>
        <w:t>以习近平新时代中国特色社会主义思想为指导，全面贯彻党的十九大和十九届二中、三中、四中、五中全会精神，深入贯彻习近平生态文明思想，紧紧围绕统筹推进“五位一体”总体布局和协调推进“四个全面”战略布局，立足新发展阶段，完整、准确、全面贯彻新发展理念，构建新发展格局，牢牢把握减污降碳协同增效总要求，处理好发展和减排、整体和局部、短期和中长期的关系，以推动交通运输节能降碳为重点，协同推进交通运输高质量发展和生态环境高水平保护，加快形成绿色低碳运输方式，促进交通与自然和谐发展，为加快建设交通强国提供有力支撑。</w:t>
      </w:r>
    </w:p>
    <w:p>
      <w:pPr>
        <w:pStyle w:val="3"/>
        <w:spacing w:line="580" w:lineRule="exact"/>
        <w:ind w:firstLine="643"/>
        <w:rPr>
          <w:rFonts w:ascii="Times New Roman" w:hAnsi="Times New Roman"/>
        </w:rPr>
      </w:pPr>
      <w:bookmarkStart w:id="73" w:name="_Toc848406009"/>
      <w:bookmarkStart w:id="74" w:name="_Toc922450492"/>
      <w:bookmarkStart w:id="75" w:name="_Toc15649"/>
      <w:bookmarkStart w:id="76" w:name="_Toc1882654737"/>
      <w:bookmarkStart w:id="77" w:name="_Toc58280691"/>
      <w:bookmarkStart w:id="78" w:name="_Toc54405529"/>
      <w:bookmarkStart w:id="79" w:name="_Toc880891513"/>
      <w:bookmarkStart w:id="80" w:name="_Toc73866713"/>
      <w:bookmarkStart w:id="81" w:name="_Toc56103151"/>
      <w:bookmarkStart w:id="82" w:name="_Toc1071878482"/>
      <w:bookmarkStart w:id="83" w:name="_Toc1615801437"/>
      <w:r>
        <w:rPr>
          <w:rFonts w:ascii="Times New Roman" w:hAnsi="Times New Roman"/>
        </w:rPr>
        <w:t>（二）基本原则。</w:t>
      </w:r>
      <w:bookmarkEnd w:id="73"/>
      <w:bookmarkEnd w:id="74"/>
      <w:bookmarkEnd w:id="75"/>
      <w:bookmarkEnd w:id="76"/>
      <w:bookmarkEnd w:id="77"/>
      <w:bookmarkEnd w:id="78"/>
      <w:bookmarkEnd w:id="79"/>
      <w:bookmarkEnd w:id="80"/>
      <w:bookmarkEnd w:id="81"/>
      <w:bookmarkEnd w:id="82"/>
      <w:bookmarkEnd w:id="83"/>
    </w:p>
    <w:p>
      <w:pPr>
        <w:widowControl/>
        <w:spacing w:line="580" w:lineRule="exact"/>
        <w:ind w:firstLine="643" w:firstLineChars="200"/>
        <w:rPr>
          <w:kern w:val="0"/>
          <w:sz w:val="32"/>
        </w:rPr>
      </w:pPr>
      <w:r>
        <w:rPr>
          <w:b/>
          <w:bCs/>
          <w:sz w:val="32"/>
        </w:rPr>
        <w:t>生态优先，绿色发展</w:t>
      </w:r>
      <w:r>
        <w:rPr>
          <w:kern w:val="0"/>
          <w:sz w:val="32"/>
        </w:rPr>
        <w:t>。</w:t>
      </w:r>
      <w:r>
        <w:rPr>
          <w:sz w:val="32"/>
        </w:rPr>
        <w:t>坚持尊重自然、顺应自然、保护自然，把资源能源节约和生态环境保护摆在行业发展更加突出的位置，严格落实生态环境保护制度，推动交通运输领域加快形成绿色生产生活方式。</w:t>
      </w:r>
    </w:p>
    <w:p>
      <w:pPr>
        <w:widowControl/>
        <w:spacing w:line="580" w:lineRule="exact"/>
        <w:ind w:firstLine="643" w:firstLineChars="200"/>
        <w:rPr>
          <w:sz w:val="32"/>
        </w:rPr>
      </w:pPr>
      <w:r>
        <w:rPr>
          <w:b/>
          <w:bCs/>
          <w:sz w:val="32"/>
        </w:rPr>
        <w:t>系统推进，重点突破</w:t>
      </w:r>
      <w:r>
        <w:rPr>
          <w:kern w:val="0"/>
          <w:sz w:val="32"/>
        </w:rPr>
        <w:t>。</w:t>
      </w:r>
      <w:r>
        <w:rPr>
          <w:sz w:val="32"/>
        </w:rPr>
        <w:t>全方位、全地域、全过程推进交通运输行业绿色发展，在重点区域、领域和关键环节集中发力，以点带面实现突破性进展，着力解决突出生态环境问题</w:t>
      </w:r>
      <w:r>
        <w:rPr>
          <w:rFonts w:hint="eastAsia"/>
          <w:sz w:val="32"/>
        </w:rPr>
        <w:t>，切实推动交通运输</w:t>
      </w:r>
      <w:r>
        <w:rPr>
          <w:kern w:val="0"/>
          <w:sz w:val="32"/>
        </w:rPr>
        <w:t>减污降碳</w:t>
      </w:r>
      <w:r>
        <w:rPr>
          <w:sz w:val="32"/>
        </w:rPr>
        <w:t>。</w:t>
      </w:r>
    </w:p>
    <w:p>
      <w:pPr>
        <w:widowControl/>
        <w:spacing w:line="580" w:lineRule="exact"/>
        <w:ind w:firstLine="643" w:firstLineChars="200"/>
        <w:rPr>
          <w:kern w:val="0"/>
          <w:sz w:val="32"/>
        </w:rPr>
      </w:pPr>
      <w:r>
        <w:rPr>
          <w:b/>
          <w:bCs/>
          <w:sz w:val="32"/>
        </w:rPr>
        <w:t>创新驱动，优化结构</w:t>
      </w:r>
      <w:r>
        <w:rPr>
          <w:kern w:val="0"/>
          <w:sz w:val="32"/>
        </w:rPr>
        <w:t>。努力推动理念创新、技术创新、管理创新和制度创新，充分挖掘新模式、新技术的巨大减排潜力。注重发挥各种运输方式的比较优势和组合效率，着力优化交通运输结构和用能结构，促进行业</w:t>
      </w:r>
      <w:r>
        <w:rPr>
          <w:rFonts w:hint="eastAsia"/>
          <w:kern w:val="0"/>
          <w:sz w:val="32"/>
        </w:rPr>
        <w:t>绿色低碳</w:t>
      </w:r>
      <w:r>
        <w:rPr>
          <w:kern w:val="0"/>
          <w:sz w:val="32"/>
        </w:rPr>
        <w:t>转型。</w:t>
      </w:r>
    </w:p>
    <w:p>
      <w:pPr>
        <w:widowControl/>
        <w:spacing w:line="580" w:lineRule="exact"/>
        <w:ind w:firstLine="643" w:firstLineChars="200"/>
        <w:rPr>
          <w:kern w:val="0"/>
          <w:sz w:val="32"/>
        </w:rPr>
      </w:pPr>
      <w:r>
        <w:rPr>
          <w:b/>
          <w:bCs/>
          <w:sz w:val="32"/>
        </w:rPr>
        <w:t>多方参与，协同共治</w:t>
      </w:r>
      <w:r>
        <w:rPr>
          <w:kern w:val="0"/>
          <w:sz w:val="32"/>
        </w:rPr>
        <w:t>。</w:t>
      </w:r>
      <w:r>
        <w:rPr>
          <w:sz w:val="32"/>
        </w:rPr>
        <w:t>强化企业节能环保主体责任，发挥公众参与和监督作用，健全法规制度，</w:t>
      </w:r>
      <w:r>
        <w:rPr>
          <w:kern w:val="0"/>
          <w:sz w:val="32"/>
        </w:rPr>
        <w:t>推动形成政府</w:t>
      </w:r>
      <w:r>
        <w:rPr>
          <w:rFonts w:hint="eastAsia"/>
          <w:kern w:val="0"/>
          <w:sz w:val="32"/>
        </w:rPr>
        <w:t>、</w:t>
      </w:r>
      <w:r>
        <w:rPr>
          <w:kern w:val="0"/>
          <w:sz w:val="32"/>
        </w:rPr>
        <w:t>企业</w:t>
      </w:r>
      <w:r>
        <w:rPr>
          <w:rFonts w:hint="eastAsia"/>
          <w:kern w:val="0"/>
          <w:sz w:val="32"/>
        </w:rPr>
        <w:t>、</w:t>
      </w:r>
      <w:r>
        <w:rPr>
          <w:kern w:val="0"/>
          <w:sz w:val="32"/>
        </w:rPr>
        <w:t>公众共治的绿色交通行动体系</w:t>
      </w:r>
      <w:r>
        <w:rPr>
          <w:sz w:val="32"/>
        </w:rPr>
        <w:t>。推进交通运输能源消耗、温室气体和常规污染物协同控制，提升绿色交通治理效果。</w:t>
      </w:r>
    </w:p>
    <w:p>
      <w:pPr>
        <w:pStyle w:val="3"/>
        <w:spacing w:line="580" w:lineRule="exact"/>
        <w:ind w:firstLine="643"/>
        <w:rPr>
          <w:rFonts w:ascii="Times New Roman" w:hAnsi="Times New Roman"/>
        </w:rPr>
      </w:pPr>
      <w:bookmarkStart w:id="84" w:name="_Toc17430"/>
      <w:bookmarkStart w:id="85" w:name="_Toc1001651254"/>
      <w:bookmarkStart w:id="86" w:name="_Toc73866714"/>
      <w:bookmarkStart w:id="87" w:name="_Toc1088219291"/>
      <w:bookmarkStart w:id="88" w:name="_Toc56103152"/>
      <w:bookmarkStart w:id="89" w:name="_Toc58280692"/>
      <w:bookmarkStart w:id="90" w:name="_Toc1687047745"/>
      <w:bookmarkStart w:id="91" w:name="_Toc1470669992"/>
      <w:bookmarkStart w:id="92" w:name="_Toc791540540"/>
      <w:bookmarkStart w:id="93" w:name="_Toc1167457920"/>
      <w:bookmarkStart w:id="94" w:name="_Toc1835597117"/>
      <w:r>
        <w:rPr>
          <w:rFonts w:ascii="Times New Roman" w:hAnsi="Times New Roman"/>
        </w:rPr>
        <w:t>（三）发展目标。</w:t>
      </w:r>
      <w:bookmarkEnd w:id="84"/>
      <w:bookmarkEnd w:id="85"/>
      <w:bookmarkEnd w:id="86"/>
      <w:bookmarkEnd w:id="87"/>
      <w:bookmarkEnd w:id="88"/>
      <w:bookmarkEnd w:id="89"/>
      <w:bookmarkEnd w:id="90"/>
      <w:bookmarkEnd w:id="91"/>
      <w:bookmarkEnd w:id="92"/>
      <w:bookmarkEnd w:id="93"/>
      <w:bookmarkEnd w:id="94"/>
    </w:p>
    <w:bookmarkEnd w:id="72"/>
    <w:p>
      <w:pPr>
        <w:spacing w:line="580" w:lineRule="exact"/>
        <w:ind w:firstLine="640" w:firstLineChars="200"/>
        <w:rPr>
          <w:kern w:val="0"/>
          <w:sz w:val="32"/>
        </w:rPr>
      </w:pPr>
      <w:r>
        <w:rPr>
          <w:kern w:val="0"/>
          <w:sz w:val="32"/>
        </w:rPr>
        <w:t>到2025年，交通运输领域绿色低碳生产方式</w:t>
      </w:r>
      <w:r>
        <w:rPr>
          <w:kern w:val="0"/>
          <w:sz w:val="32"/>
          <w:szCs w:val="32"/>
        </w:rPr>
        <w:t>初步</w:t>
      </w:r>
      <w:r>
        <w:rPr>
          <w:kern w:val="0"/>
          <w:sz w:val="32"/>
        </w:rPr>
        <w:t>形成，</w:t>
      </w:r>
      <w:r>
        <w:rPr>
          <w:kern w:val="0"/>
          <w:sz w:val="32"/>
          <w:szCs w:val="32"/>
        </w:rPr>
        <w:t>基本</w:t>
      </w:r>
      <w:r>
        <w:rPr>
          <w:kern w:val="0"/>
          <w:sz w:val="32"/>
        </w:rPr>
        <w:t>实现基础设施环境友好、运输装备清洁低碳、运输组织集约高效，重点领域取得突破性进展，绿色发展水平总体适应交通强国建设阶段性要求。</w:t>
      </w:r>
    </w:p>
    <w:p>
      <w:pPr>
        <w:spacing w:line="580" w:lineRule="exact"/>
        <w:ind w:firstLine="640" w:firstLineChars="200"/>
        <w:rPr>
          <w:kern w:val="0"/>
          <w:sz w:val="32"/>
        </w:rPr>
      </w:pPr>
      <w:r>
        <w:rPr>
          <w:kern w:val="0"/>
          <w:sz w:val="32"/>
        </w:rPr>
        <w:t>——生态保护取得显著成效，交通基础设施与生态环境协调发展水平进一步提升，全</w:t>
      </w:r>
      <w:r>
        <w:rPr>
          <w:rFonts w:hint="eastAsia"/>
          <w:kern w:val="0"/>
          <w:sz w:val="32"/>
        </w:rPr>
        <w:t>生命</w:t>
      </w:r>
      <w:r>
        <w:rPr>
          <w:kern w:val="0"/>
          <w:sz w:val="32"/>
        </w:rPr>
        <w:t>周期资源消耗水平有效降低；</w:t>
      </w:r>
    </w:p>
    <w:p>
      <w:pPr>
        <w:spacing w:line="580" w:lineRule="exact"/>
        <w:ind w:firstLine="640" w:firstLineChars="200"/>
        <w:rPr>
          <w:kern w:val="0"/>
          <w:sz w:val="32"/>
          <w:szCs w:val="32"/>
        </w:rPr>
      </w:pPr>
      <w:r>
        <w:rPr>
          <w:kern w:val="0"/>
          <w:sz w:val="32"/>
        </w:rPr>
        <w:t>——</w:t>
      </w:r>
      <w:r>
        <w:rPr>
          <w:kern w:val="0"/>
          <w:sz w:val="32"/>
          <w:szCs w:val="32"/>
        </w:rPr>
        <w:t>营运车辆及船舶能耗和</w:t>
      </w:r>
      <w:r>
        <w:rPr>
          <w:kern w:val="0"/>
          <w:sz w:val="32"/>
        </w:rPr>
        <w:t>碳排放强度</w:t>
      </w:r>
      <w:r>
        <w:rPr>
          <w:kern w:val="0"/>
          <w:sz w:val="32"/>
          <w:szCs w:val="32"/>
        </w:rPr>
        <w:t>进一步</w:t>
      </w:r>
      <w:r>
        <w:rPr>
          <w:kern w:val="0"/>
          <w:sz w:val="32"/>
        </w:rPr>
        <w:t>下降，</w:t>
      </w:r>
      <w:r>
        <w:rPr>
          <w:kern w:val="0"/>
          <w:sz w:val="32"/>
          <w:szCs w:val="32"/>
        </w:rPr>
        <w:t>新能源和清洁</w:t>
      </w:r>
      <w:r>
        <w:rPr>
          <w:kern w:val="0"/>
          <w:sz w:val="32"/>
        </w:rPr>
        <w:t>能源</w:t>
      </w:r>
      <w:r>
        <w:rPr>
          <w:kern w:val="0"/>
          <w:sz w:val="32"/>
          <w:szCs w:val="32"/>
        </w:rPr>
        <w:t>应用比例显著</w:t>
      </w:r>
      <w:r>
        <w:rPr>
          <w:kern w:val="0"/>
          <w:sz w:val="32"/>
        </w:rPr>
        <w:t>提升</w:t>
      </w:r>
      <w:r>
        <w:rPr>
          <w:kern w:val="0"/>
          <w:sz w:val="32"/>
          <w:szCs w:val="32"/>
        </w:rPr>
        <w:t>；</w:t>
      </w:r>
    </w:p>
    <w:p>
      <w:pPr>
        <w:spacing w:line="580" w:lineRule="exact"/>
        <w:ind w:firstLine="640" w:firstLineChars="200"/>
        <w:rPr>
          <w:kern w:val="0"/>
          <w:sz w:val="32"/>
        </w:rPr>
      </w:pPr>
      <w:r>
        <w:rPr>
          <w:kern w:val="0"/>
          <w:sz w:val="32"/>
        </w:rPr>
        <w:t>——</w:t>
      </w:r>
      <w:r>
        <w:rPr>
          <w:kern w:val="0"/>
          <w:sz w:val="32"/>
          <w:szCs w:val="32"/>
        </w:rPr>
        <w:t>交通运输污染防治取得新成效，营运车船污染物排放强度不断降低，排放总量进一步下降</w:t>
      </w:r>
      <w:r>
        <w:rPr>
          <w:kern w:val="0"/>
          <w:sz w:val="32"/>
        </w:rPr>
        <w:t>；</w:t>
      </w:r>
    </w:p>
    <w:p>
      <w:pPr>
        <w:spacing w:line="580" w:lineRule="exact"/>
        <w:ind w:firstLine="640" w:firstLineChars="200"/>
        <w:rPr>
          <w:kern w:val="0"/>
          <w:sz w:val="32"/>
        </w:rPr>
      </w:pPr>
      <w:r>
        <w:rPr>
          <w:kern w:val="0"/>
          <w:sz w:val="32"/>
        </w:rPr>
        <w:t>——客货运输结构更趋合理，运输组织效率进一步提升，绿色出行体系初步形成；</w:t>
      </w:r>
    </w:p>
    <w:p>
      <w:pPr>
        <w:spacing w:line="580" w:lineRule="exact"/>
        <w:ind w:firstLine="640" w:firstLineChars="200"/>
        <w:rPr>
          <w:kern w:val="0"/>
          <w:sz w:val="32"/>
        </w:rPr>
      </w:pPr>
      <w:r>
        <w:rPr>
          <w:kern w:val="0"/>
          <w:sz w:val="32"/>
        </w:rPr>
        <w:t>——绿色交通推进手段进一步丰富，行业绿色发展法规制度</w:t>
      </w:r>
      <w:r>
        <w:rPr>
          <w:kern w:val="0"/>
          <w:sz w:val="32"/>
          <w:szCs w:val="32"/>
        </w:rPr>
        <w:t>标准</w:t>
      </w:r>
      <w:r>
        <w:rPr>
          <w:kern w:val="0"/>
          <w:sz w:val="32"/>
        </w:rPr>
        <w:t>体系</w:t>
      </w:r>
      <w:r>
        <w:rPr>
          <w:kern w:val="0"/>
          <w:sz w:val="32"/>
          <w:szCs w:val="32"/>
        </w:rPr>
        <w:t>逐步完善，</w:t>
      </w:r>
      <w:r>
        <w:rPr>
          <w:kern w:val="0"/>
          <w:sz w:val="32"/>
        </w:rPr>
        <w:t>科技支撑能力进一步提高，</w:t>
      </w:r>
      <w:r>
        <w:rPr>
          <w:kern w:val="0"/>
          <w:sz w:val="32"/>
          <w:szCs w:val="32"/>
        </w:rPr>
        <w:t>绿色交通</w:t>
      </w:r>
      <w:r>
        <w:rPr>
          <w:kern w:val="0"/>
          <w:sz w:val="32"/>
        </w:rPr>
        <w:t>监管</w:t>
      </w:r>
      <w:r>
        <w:rPr>
          <w:kern w:val="0"/>
          <w:sz w:val="32"/>
          <w:szCs w:val="32"/>
        </w:rPr>
        <w:t>能力明显提升</w:t>
      </w:r>
      <w:r>
        <w:rPr>
          <w:kern w:val="0"/>
          <w:sz w:val="32"/>
        </w:rPr>
        <w:t>。</w:t>
      </w:r>
    </w:p>
    <w:p>
      <w:pPr>
        <w:spacing w:line="520" w:lineRule="exact"/>
        <w:ind w:firstLine="640" w:firstLineChars="200"/>
        <w:rPr>
          <w:kern w:val="0"/>
          <w:sz w:val="32"/>
        </w:rPr>
      </w:pPr>
      <w:r>
        <w:rPr>
          <w:kern w:val="0"/>
          <w:sz w:val="32"/>
        </w:rPr>
        <w:t>“十四五”期具体发展</w:t>
      </w:r>
      <w:r>
        <w:rPr>
          <w:kern w:val="0"/>
          <w:sz w:val="32"/>
          <w:szCs w:val="32"/>
        </w:rPr>
        <w:t>目标</w:t>
      </w:r>
      <w:r>
        <w:rPr>
          <w:kern w:val="0"/>
          <w:sz w:val="32"/>
        </w:rPr>
        <w:t>如表1。</w:t>
      </w:r>
    </w:p>
    <w:p>
      <w:pPr>
        <w:spacing w:line="520" w:lineRule="exact"/>
        <w:ind w:firstLine="560" w:firstLineChars="200"/>
        <w:jc w:val="center"/>
        <w:rPr>
          <w:rFonts w:eastAsia="黑体"/>
          <w:sz w:val="28"/>
          <w:szCs w:val="28"/>
        </w:rPr>
      </w:pPr>
      <w:bookmarkStart w:id="95" w:name="_Toc76519725"/>
      <w:bookmarkStart w:id="96" w:name="_Toc816435911"/>
      <w:bookmarkStart w:id="97" w:name="_Toc1533234873"/>
      <w:r>
        <w:rPr>
          <w:rFonts w:eastAsia="黑体"/>
          <w:sz w:val="28"/>
          <w:szCs w:val="28"/>
        </w:rPr>
        <w:t>表1  绿色交通“十四五”发展具体目标</w:t>
      </w:r>
      <w:bookmarkEnd w:id="95"/>
      <w:bookmarkEnd w:id="96"/>
      <w:bookmarkEnd w:id="97"/>
    </w:p>
    <w:tbl>
      <w:tblPr>
        <w:tblStyle w:val="6"/>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08"/>
        <w:gridCol w:w="359"/>
        <w:gridCol w:w="108"/>
        <w:gridCol w:w="715"/>
        <w:gridCol w:w="108"/>
        <w:gridCol w:w="4792"/>
        <w:gridCol w:w="108"/>
        <w:gridCol w:w="1122"/>
        <w:gridCol w:w="108"/>
        <w:gridCol w:w="991"/>
        <w:gridCol w:w="10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8" w:type="dxa"/>
          <w:jc w:val="center"/>
        </w:trPr>
        <w:tc>
          <w:tcPr>
            <w:tcW w:w="467" w:type="dxa"/>
            <w:gridSpan w:val="2"/>
            <w:tcBorders>
              <w:top w:val="single" w:color="auto" w:sz="12" w:space="0"/>
              <w:bottom w:val="single" w:color="auto" w:sz="12" w:space="0"/>
            </w:tcBorders>
            <w:noWrap w:val="0"/>
            <w:vAlign w:val="center"/>
          </w:tcPr>
          <w:p>
            <w:pPr>
              <w:snapToGrid w:val="0"/>
              <w:spacing w:line="480" w:lineRule="exact"/>
              <w:jc w:val="center"/>
              <w:rPr>
                <w:b/>
                <w:kern w:val="0"/>
                <w:sz w:val="28"/>
                <w:szCs w:val="28"/>
              </w:rPr>
            </w:pPr>
            <w:r>
              <w:rPr>
                <w:b/>
                <w:kern w:val="0"/>
                <w:sz w:val="28"/>
                <w:szCs w:val="28"/>
              </w:rPr>
              <w:t>序号</w:t>
            </w:r>
          </w:p>
        </w:tc>
        <w:tc>
          <w:tcPr>
            <w:tcW w:w="823" w:type="dxa"/>
            <w:gridSpan w:val="2"/>
            <w:tcBorders>
              <w:top w:val="single" w:color="auto" w:sz="12" w:space="0"/>
              <w:bottom w:val="single" w:color="auto" w:sz="12" w:space="0"/>
            </w:tcBorders>
            <w:noWrap w:val="0"/>
            <w:vAlign w:val="center"/>
          </w:tcPr>
          <w:p>
            <w:pPr>
              <w:snapToGrid w:val="0"/>
              <w:spacing w:line="480" w:lineRule="exact"/>
              <w:jc w:val="center"/>
              <w:rPr>
                <w:b/>
                <w:kern w:val="0"/>
                <w:sz w:val="28"/>
                <w:szCs w:val="28"/>
              </w:rPr>
            </w:pPr>
            <w:r>
              <w:rPr>
                <w:b/>
                <w:kern w:val="0"/>
                <w:sz w:val="28"/>
                <w:szCs w:val="28"/>
              </w:rPr>
              <w:t>指标类型</w:t>
            </w:r>
          </w:p>
        </w:tc>
        <w:tc>
          <w:tcPr>
            <w:tcW w:w="4900" w:type="dxa"/>
            <w:gridSpan w:val="2"/>
            <w:tcBorders>
              <w:top w:val="single" w:color="auto" w:sz="12" w:space="0"/>
              <w:bottom w:val="single" w:color="auto" w:sz="12" w:space="0"/>
            </w:tcBorders>
            <w:noWrap w:val="0"/>
            <w:vAlign w:val="center"/>
          </w:tcPr>
          <w:p>
            <w:pPr>
              <w:snapToGrid w:val="0"/>
              <w:spacing w:line="480" w:lineRule="exact"/>
              <w:jc w:val="center"/>
              <w:rPr>
                <w:b/>
                <w:kern w:val="0"/>
                <w:sz w:val="28"/>
                <w:szCs w:val="28"/>
              </w:rPr>
            </w:pPr>
            <w:r>
              <w:rPr>
                <w:b/>
                <w:kern w:val="0"/>
                <w:sz w:val="28"/>
                <w:szCs w:val="28"/>
              </w:rPr>
              <w:t>指标名称</w:t>
            </w:r>
          </w:p>
        </w:tc>
        <w:tc>
          <w:tcPr>
            <w:tcW w:w="1230" w:type="dxa"/>
            <w:gridSpan w:val="2"/>
            <w:tcBorders>
              <w:top w:val="single" w:color="auto" w:sz="12" w:space="0"/>
              <w:bottom w:val="single" w:color="auto" w:sz="12" w:space="0"/>
            </w:tcBorders>
            <w:noWrap w:val="0"/>
            <w:vAlign w:val="center"/>
          </w:tcPr>
          <w:p>
            <w:pPr>
              <w:snapToGrid w:val="0"/>
              <w:spacing w:line="480" w:lineRule="exact"/>
              <w:jc w:val="center"/>
              <w:rPr>
                <w:b/>
                <w:kern w:val="0"/>
                <w:sz w:val="28"/>
                <w:szCs w:val="28"/>
              </w:rPr>
            </w:pPr>
            <w:r>
              <w:rPr>
                <w:b/>
                <w:kern w:val="0"/>
                <w:sz w:val="28"/>
                <w:szCs w:val="28"/>
              </w:rPr>
              <w:t>2025年</w:t>
            </w:r>
          </w:p>
          <w:p>
            <w:pPr>
              <w:snapToGrid w:val="0"/>
              <w:spacing w:line="480" w:lineRule="exact"/>
              <w:jc w:val="center"/>
              <w:rPr>
                <w:b/>
                <w:kern w:val="0"/>
                <w:sz w:val="28"/>
                <w:szCs w:val="28"/>
              </w:rPr>
            </w:pPr>
            <w:r>
              <w:rPr>
                <w:b/>
                <w:kern w:val="0"/>
                <w:sz w:val="28"/>
                <w:szCs w:val="28"/>
              </w:rPr>
              <w:t>目标值</w:t>
            </w:r>
          </w:p>
        </w:tc>
        <w:tc>
          <w:tcPr>
            <w:tcW w:w="1099" w:type="dxa"/>
            <w:gridSpan w:val="2"/>
            <w:tcBorders>
              <w:top w:val="single" w:color="auto" w:sz="12" w:space="0"/>
              <w:bottom w:val="single" w:color="auto" w:sz="12" w:space="0"/>
            </w:tcBorders>
            <w:noWrap w:val="0"/>
            <w:vAlign w:val="center"/>
          </w:tcPr>
          <w:p>
            <w:pPr>
              <w:snapToGrid w:val="0"/>
              <w:spacing w:line="480" w:lineRule="exact"/>
              <w:jc w:val="center"/>
              <w:rPr>
                <w:rFonts w:hint="eastAsia"/>
                <w:b/>
                <w:kern w:val="0"/>
                <w:sz w:val="28"/>
                <w:szCs w:val="28"/>
              </w:rPr>
            </w:pPr>
            <w:r>
              <w:rPr>
                <w:rFonts w:hint="eastAsia"/>
                <w:b/>
                <w:kern w:val="0"/>
                <w:sz w:val="28"/>
                <w:szCs w:val="28"/>
              </w:rPr>
              <w:t>指标</w:t>
            </w:r>
          </w:p>
          <w:p>
            <w:pPr>
              <w:snapToGrid w:val="0"/>
              <w:spacing w:line="480" w:lineRule="exact"/>
              <w:jc w:val="center"/>
              <w:rPr>
                <w:rFonts w:hint="eastAsia"/>
                <w:b/>
                <w:kern w:val="0"/>
                <w:sz w:val="28"/>
                <w:szCs w:val="28"/>
              </w:rPr>
            </w:pPr>
            <w:r>
              <w:rPr>
                <w:rFonts w:hint="eastAsia"/>
                <w:b/>
                <w:kern w:val="0"/>
                <w:sz w:val="28"/>
                <w:szCs w:val="28"/>
              </w:rPr>
              <w:t>属性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8" w:type="dxa"/>
          <w:jc w:val="center"/>
        </w:trPr>
        <w:tc>
          <w:tcPr>
            <w:tcW w:w="467" w:type="dxa"/>
            <w:gridSpan w:val="2"/>
            <w:tcBorders>
              <w:top w:val="single" w:color="auto" w:sz="12" w:space="0"/>
            </w:tcBorders>
            <w:noWrap w:val="0"/>
            <w:vAlign w:val="center"/>
          </w:tcPr>
          <w:p>
            <w:pPr>
              <w:snapToGrid w:val="0"/>
              <w:spacing w:line="480" w:lineRule="exact"/>
              <w:jc w:val="center"/>
              <w:rPr>
                <w:kern w:val="0"/>
                <w:sz w:val="28"/>
                <w:szCs w:val="28"/>
              </w:rPr>
            </w:pPr>
            <w:r>
              <w:rPr>
                <w:kern w:val="0"/>
                <w:sz w:val="28"/>
                <w:szCs w:val="28"/>
              </w:rPr>
              <w:t>1</w:t>
            </w:r>
          </w:p>
        </w:tc>
        <w:tc>
          <w:tcPr>
            <w:tcW w:w="823" w:type="dxa"/>
            <w:gridSpan w:val="2"/>
            <w:vMerge w:val="restart"/>
            <w:tcBorders>
              <w:top w:val="single" w:color="auto" w:sz="12" w:space="0"/>
            </w:tcBorders>
            <w:noWrap w:val="0"/>
            <w:vAlign w:val="center"/>
          </w:tcPr>
          <w:p>
            <w:pPr>
              <w:snapToGrid w:val="0"/>
              <w:spacing w:line="480" w:lineRule="exact"/>
              <w:jc w:val="center"/>
              <w:rPr>
                <w:kern w:val="0"/>
                <w:sz w:val="28"/>
                <w:szCs w:val="28"/>
              </w:rPr>
            </w:pPr>
            <w:r>
              <w:rPr>
                <w:kern w:val="0"/>
                <w:sz w:val="28"/>
                <w:szCs w:val="28"/>
              </w:rPr>
              <w:t>减污降碳</w:t>
            </w:r>
          </w:p>
        </w:tc>
        <w:tc>
          <w:tcPr>
            <w:tcW w:w="4900" w:type="dxa"/>
            <w:gridSpan w:val="2"/>
            <w:tcBorders>
              <w:top w:val="single" w:color="auto" w:sz="12" w:space="0"/>
            </w:tcBorders>
            <w:noWrap w:val="0"/>
            <w:vAlign w:val="center"/>
          </w:tcPr>
          <w:p>
            <w:pPr>
              <w:snapToGrid w:val="0"/>
              <w:spacing w:line="480" w:lineRule="exact"/>
              <w:jc w:val="left"/>
              <w:rPr>
                <w:kern w:val="0"/>
                <w:sz w:val="28"/>
                <w:szCs w:val="28"/>
              </w:rPr>
            </w:pPr>
            <w:r>
              <w:rPr>
                <w:kern w:val="0"/>
                <w:sz w:val="28"/>
                <w:szCs w:val="28"/>
              </w:rPr>
              <w:t>营运车辆单位运输周转量二氧化碳（CO</w:t>
            </w:r>
            <w:r>
              <w:rPr>
                <w:kern w:val="0"/>
                <w:sz w:val="28"/>
                <w:szCs w:val="28"/>
                <w:vertAlign w:val="subscript"/>
              </w:rPr>
              <w:t>2</w:t>
            </w:r>
            <w:r>
              <w:rPr>
                <w:kern w:val="0"/>
                <w:sz w:val="28"/>
                <w:szCs w:val="28"/>
              </w:rPr>
              <w:t>）排放较2020年下降率（%）</w:t>
            </w:r>
          </w:p>
        </w:tc>
        <w:tc>
          <w:tcPr>
            <w:tcW w:w="1230" w:type="dxa"/>
            <w:gridSpan w:val="2"/>
            <w:tcBorders>
              <w:top w:val="single" w:color="auto" w:sz="12" w:space="0"/>
            </w:tcBorders>
            <w:noWrap w:val="0"/>
            <w:vAlign w:val="center"/>
          </w:tcPr>
          <w:p>
            <w:pPr>
              <w:snapToGrid w:val="0"/>
              <w:spacing w:line="480" w:lineRule="exact"/>
              <w:jc w:val="center"/>
              <w:rPr>
                <w:kern w:val="0"/>
                <w:sz w:val="28"/>
                <w:szCs w:val="28"/>
              </w:rPr>
            </w:pPr>
            <w:r>
              <w:rPr>
                <w:kern w:val="0"/>
                <w:sz w:val="28"/>
                <w:szCs w:val="28"/>
              </w:rPr>
              <w:t>5</w:t>
            </w:r>
          </w:p>
        </w:tc>
        <w:tc>
          <w:tcPr>
            <w:tcW w:w="1099" w:type="dxa"/>
            <w:gridSpan w:val="2"/>
            <w:tcBorders>
              <w:top w:val="single" w:color="auto" w:sz="12" w:space="0"/>
            </w:tcBorders>
            <w:noWrap w:val="0"/>
            <w:vAlign w:val="center"/>
          </w:tcPr>
          <w:p>
            <w:pPr>
              <w:snapToGrid w:val="0"/>
              <w:spacing w:line="480" w:lineRule="exact"/>
              <w:jc w:val="center"/>
              <w:rPr>
                <w:rFonts w:hint="eastAsia"/>
                <w:kern w:val="0"/>
                <w:sz w:val="28"/>
                <w:szCs w:val="28"/>
              </w:rPr>
            </w:pPr>
            <w:r>
              <w:rPr>
                <w:rFonts w:hint="eastAsia"/>
                <w:kern w:val="0"/>
                <w:sz w:val="28"/>
                <w:szCs w:val="28"/>
              </w:rPr>
              <w:t>预期性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8" w:type="dxa"/>
          <w:jc w:val="center"/>
        </w:trPr>
        <w:tc>
          <w:tcPr>
            <w:tcW w:w="467" w:type="dxa"/>
            <w:gridSpan w:val="2"/>
            <w:noWrap w:val="0"/>
            <w:vAlign w:val="center"/>
          </w:tcPr>
          <w:p>
            <w:pPr>
              <w:snapToGrid w:val="0"/>
              <w:spacing w:line="480" w:lineRule="exact"/>
              <w:jc w:val="center"/>
              <w:rPr>
                <w:kern w:val="0"/>
                <w:sz w:val="28"/>
                <w:szCs w:val="28"/>
              </w:rPr>
            </w:pPr>
            <w:r>
              <w:rPr>
                <w:kern w:val="0"/>
                <w:sz w:val="28"/>
                <w:szCs w:val="28"/>
              </w:rPr>
              <w:t>2</w:t>
            </w:r>
          </w:p>
        </w:tc>
        <w:tc>
          <w:tcPr>
            <w:tcW w:w="823" w:type="dxa"/>
            <w:gridSpan w:val="2"/>
            <w:vMerge w:val="continue"/>
            <w:noWrap w:val="0"/>
            <w:vAlign w:val="center"/>
          </w:tcPr>
          <w:p>
            <w:pPr>
              <w:snapToGrid w:val="0"/>
              <w:spacing w:line="480" w:lineRule="exact"/>
              <w:jc w:val="center"/>
              <w:rPr>
                <w:kern w:val="0"/>
                <w:sz w:val="28"/>
                <w:szCs w:val="28"/>
              </w:rPr>
            </w:pPr>
          </w:p>
        </w:tc>
        <w:tc>
          <w:tcPr>
            <w:tcW w:w="4900" w:type="dxa"/>
            <w:gridSpan w:val="2"/>
            <w:noWrap w:val="0"/>
            <w:vAlign w:val="center"/>
          </w:tcPr>
          <w:p>
            <w:pPr>
              <w:snapToGrid w:val="0"/>
              <w:spacing w:line="480" w:lineRule="exact"/>
              <w:jc w:val="left"/>
              <w:rPr>
                <w:kern w:val="0"/>
                <w:sz w:val="28"/>
                <w:szCs w:val="28"/>
              </w:rPr>
            </w:pPr>
            <w:r>
              <w:rPr>
                <w:kern w:val="0"/>
                <w:sz w:val="28"/>
                <w:szCs w:val="28"/>
              </w:rPr>
              <w:t>营运船舶单位运输周转量二氧化碳（CO</w:t>
            </w:r>
            <w:r>
              <w:rPr>
                <w:kern w:val="0"/>
                <w:sz w:val="28"/>
                <w:szCs w:val="28"/>
                <w:vertAlign w:val="subscript"/>
              </w:rPr>
              <w:t>2</w:t>
            </w:r>
            <w:r>
              <w:rPr>
                <w:kern w:val="0"/>
                <w:sz w:val="28"/>
                <w:szCs w:val="28"/>
              </w:rPr>
              <w:t>）排放较2020年下降率（%）</w:t>
            </w:r>
          </w:p>
        </w:tc>
        <w:tc>
          <w:tcPr>
            <w:tcW w:w="1230" w:type="dxa"/>
            <w:gridSpan w:val="2"/>
            <w:noWrap w:val="0"/>
            <w:vAlign w:val="center"/>
          </w:tcPr>
          <w:p>
            <w:pPr>
              <w:snapToGrid w:val="0"/>
              <w:spacing w:line="480" w:lineRule="exact"/>
              <w:jc w:val="center"/>
              <w:rPr>
                <w:kern w:val="0"/>
                <w:sz w:val="28"/>
                <w:szCs w:val="28"/>
              </w:rPr>
            </w:pPr>
            <w:r>
              <w:rPr>
                <w:kern w:val="0"/>
                <w:sz w:val="28"/>
                <w:szCs w:val="28"/>
              </w:rPr>
              <w:t>3.5</w:t>
            </w:r>
          </w:p>
        </w:tc>
        <w:tc>
          <w:tcPr>
            <w:tcW w:w="1099" w:type="dxa"/>
            <w:gridSpan w:val="2"/>
            <w:noWrap w:val="0"/>
            <w:vAlign w:val="center"/>
          </w:tcPr>
          <w:p>
            <w:pPr>
              <w:snapToGrid w:val="0"/>
              <w:spacing w:line="480" w:lineRule="exact"/>
              <w:jc w:val="center"/>
              <w:rPr>
                <w:kern w:val="0"/>
                <w:sz w:val="28"/>
                <w:szCs w:val="28"/>
              </w:rPr>
            </w:pPr>
            <w:r>
              <w:rPr>
                <w:rFonts w:hint="eastAsia"/>
                <w:kern w:val="0"/>
                <w:sz w:val="28"/>
                <w:szCs w:val="28"/>
              </w:rPr>
              <w:t>预期性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8" w:type="dxa"/>
          <w:jc w:val="center"/>
        </w:trPr>
        <w:tc>
          <w:tcPr>
            <w:tcW w:w="467" w:type="dxa"/>
            <w:gridSpan w:val="2"/>
            <w:tcBorders>
              <w:bottom w:val="single" w:color="auto" w:sz="4" w:space="0"/>
            </w:tcBorders>
            <w:noWrap w:val="0"/>
            <w:vAlign w:val="center"/>
          </w:tcPr>
          <w:p>
            <w:pPr>
              <w:snapToGrid w:val="0"/>
              <w:spacing w:line="480" w:lineRule="exact"/>
              <w:jc w:val="center"/>
              <w:rPr>
                <w:kern w:val="0"/>
                <w:sz w:val="28"/>
                <w:szCs w:val="28"/>
              </w:rPr>
            </w:pPr>
            <w:r>
              <w:rPr>
                <w:kern w:val="0"/>
                <w:sz w:val="28"/>
                <w:szCs w:val="28"/>
              </w:rPr>
              <w:t>3</w:t>
            </w:r>
          </w:p>
        </w:tc>
        <w:tc>
          <w:tcPr>
            <w:tcW w:w="823" w:type="dxa"/>
            <w:gridSpan w:val="2"/>
            <w:vMerge w:val="continue"/>
            <w:tcBorders>
              <w:bottom w:val="single" w:color="auto" w:sz="4" w:space="0"/>
            </w:tcBorders>
            <w:noWrap w:val="0"/>
            <w:vAlign w:val="center"/>
          </w:tcPr>
          <w:p>
            <w:pPr>
              <w:snapToGrid w:val="0"/>
              <w:spacing w:line="480" w:lineRule="exact"/>
              <w:jc w:val="center"/>
              <w:rPr>
                <w:kern w:val="0"/>
                <w:sz w:val="28"/>
                <w:szCs w:val="28"/>
              </w:rPr>
            </w:pPr>
          </w:p>
        </w:tc>
        <w:tc>
          <w:tcPr>
            <w:tcW w:w="4900" w:type="dxa"/>
            <w:gridSpan w:val="2"/>
            <w:tcBorders>
              <w:bottom w:val="single" w:color="auto" w:sz="4" w:space="0"/>
            </w:tcBorders>
            <w:noWrap w:val="0"/>
            <w:vAlign w:val="center"/>
          </w:tcPr>
          <w:p>
            <w:pPr>
              <w:snapToGrid w:val="0"/>
              <w:spacing w:line="480" w:lineRule="exact"/>
              <w:jc w:val="left"/>
              <w:rPr>
                <w:kern w:val="0"/>
                <w:sz w:val="28"/>
                <w:szCs w:val="28"/>
              </w:rPr>
            </w:pPr>
            <w:r>
              <w:rPr>
                <w:kern w:val="0"/>
                <w:sz w:val="28"/>
                <w:szCs w:val="28"/>
              </w:rPr>
              <w:t>营运船舶氮氧化物（NO</w:t>
            </w:r>
            <w:r>
              <w:rPr>
                <w:kern w:val="0"/>
                <w:sz w:val="28"/>
                <w:szCs w:val="28"/>
                <w:vertAlign w:val="subscript"/>
              </w:rPr>
              <w:t>x</w:t>
            </w:r>
            <w:r>
              <w:rPr>
                <w:kern w:val="0"/>
                <w:sz w:val="28"/>
                <w:szCs w:val="28"/>
              </w:rPr>
              <w:t>）排放总量较2020年下降率（%）</w:t>
            </w:r>
          </w:p>
        </w:tc>
        <w:tc>
          <w:tcPr>
            <w:tcW w:w="1230" w:type="dxa"/>
            <w:gridSpan w:val="2"/>
            <w:tcBorders>
              <w:bottom w:val="single" w:color="auto" w:sz="4" w:space="0"/>
            </w:tcBorders>
            <w:noWrap w:val="0"/>
            <w:vAlign w:val="center"/>
          </w:tcPr>
          <w:p>
            <w:pPr>
              <w:snapToGrid w:val="0"/>
              <w:spacing w:line="480" w:lineRule="exact"/>
              <w:jc w:val="center"/>
              <w:rPr>
                <w:kern w:val="0"/>
                <w:sz w:val="28"/>
                <w:szCs w:val="28"/>
              </w:rPr>
            </w:pPr>
            <w:r>
              <w:rPr>
                <w:kern w:val="0"/>
                <w:sz w:val="28"/>
                <w:szCs w:val="28"/>
              </w:rPr>
              <w:t>7</w:t>
            </w:r>
          </w:p>
        </w:tc>
        <w:tc>
          <w:tcPr>
            <w:tcW w:w="1099" w:type="dxa"/>
            <w:gridSpan w:val="2"/>
            <w:tcBorders>
              <w:bottom w:val="single" w:color="auto" w:sz="4" w:space="0"/>
            </w:tcBorders>
            <w:noWrap w:val="0"/>
            <w:vAlign w:val="center"/>
          </w:tcPr>
          <w:p>
            <w:pPr>
              <w:snapToGrid w:val="0"/>
              <w:spacing w:line="480" w:lineRule="exact"/>
              <w:jc w:val="center"/>
              <w:rPr>
                <w:kern w:val="0"/>
                <w:sz w:val="28"/>
                <w:szCs w:val="28"/>
              </w:rPr>
            </w:pPr>
            <w:r>
              <w:rPr>
                <w:rFonts w:hint="eastAsia"/>
                <w:kern w:val="0"/>
                <w:sz w:val="28"/>
                <w:szCs w:val="28"/>
              </w:rPr>
              <w:t>预期性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8" w:type="dxa"/>
          <w:jc w:val="center"/>
        </w:trPr>
        <w:tc>
          <w:tcPr>
            <w:tcW w:w="467" w:type="dxa"/>
            <w:gridSpan w:val="2"/>
            <w:tcBorders>
              <w:top w:val="single" w:color="auto" w:sz="4" w:space="0"/>
            </w:tcBorders>
            <w:noWrap w:val="0"/>
            <w:vAlign w:val="center"/>
          </w:tcPr>
          <w:p>
            <w:pPr>
              <w:snapToGrid w:val="0"/>
              <w:spacing w:line="480" w:lineRule="exact"/>
              <w:jc w:val="center"/>
              <w:rPr>
                <w:kern w:val="0"/>
                <w:sz w:val="28"/>
                <w:szCs w:val="28"/>
              </w:rPr>
            </w:pPr>
            <w:r>
              <w:rPr>
                <w:kern w:val="0"/>
                <w:sz w:val="28"/>
                <w:szCs w:val="28"/>
              </w:rPr>
              <w:t>4</w:t>
            </w:r>
          </w:p>
        </w:tc>
        <w:tc>
          <w:tcPr>
            <w:tcW w:w="823" w:type="dxa"/>
            <w:gridSpan w:val="2"/>
            <w:vMerge w:val="restart"/>
            <w:tcBorders>
              <w:top w:val="single" w:color="auto" w:sz="4" w:space="0"/>
            </w:tcBorders>
            <w:noWrap w:val="0"/>
            <w:vAlign w:val="center"/>
          </w:tcPr>
          <w:p>
            <w:pPr>
              <w:snapToGrid w:val="0"/>
              <w:spacing w:line="480" w:lineRule="exact"/>
              <w:jc w:val="center"/>
              <w:rPr>
                <w:kern w:val="0"/>
                <w:sz w:val="28"/>
                <w:szCs w:val="28"/>
              </w:rPr>
            </w:pPr>
            <w:r>
              <w:rPr>
                <w:kern w:val="0"/>
                <w:sz w:val="28"/>
                <w:szCs w:val="28"/>
              </w:rPr>
              <w:t>用能结构</w:t>
            </w:r>
          </w:p>
        </w:tc>
        <w:tc>
          <w:tcPr>
            <w:tcW w:w="4900" w:type="dxa"/>
            <w:gridSpan w:val="2"/>
            <w:tcBorders>
              <w:top w:val="single" w:color="auto" w:sz="4" w:space="0"/>
            </w:tcBorders>
            <w:noWrap w:val="0"/>
            <w:vAlign w:val="center"/>
          </w:tcPr>
          <w:p>
            <w:pPr>
              <w:snapToGrid w:val="0"/>
              <w:spacing w:line="480" w:lineRule="exact"/>
              <w:jc w:val="left"/>
              <w:rPr>
                <w:kern w:val="0"/>
                <w:sz w:val="28"/>
                <w:szCs w:val="28"/>
              </w:rPr>
            </w:pPr>
            <w:r>
              <w:rPr>
                <w:rFonts w:hint="eastAsia"/>
                <w:kern w:val="0"/>
                <w:sz w:val="28"/>
                <w:szCs w:val="28"/>
              </w:rPr>
              <w:t>全国</w:t>
            </w:r>
            <w:r>
              <w:rPr>
                <w:kern w:val="0"/>
                <w:sz w:val="28"/>
                <w:szCs w:val="28"/>
              </w:rPr>
              <w:t>城市公交、出租汽车</w:t>
            </w:r>
            <w:r>
              <w:rPr>
                <w:rFonts w:hint="eastAsia"/>
                <w:kern w:val="0"/>
                <w:sz w:val="28"/>
                <w:szCs w:val="28"/>
              </w:rPr>
              <w:t>（含网约车）</w:t>
            </w:r>
            <w:r>
              <w:rPr>
                <w:kern w:val="0"/>
                <w:sz w:val="28"/>
                <w:szCs w:val="28"/>
              </w:rPr>
              <w:t>、</w:t>
            </w:r>
            <w:r>
              <w:rPr>
                <w:rFonts w:hint="eastAsia"/>
                <w:kern w:val="0"/>
                <w:sz w:val="28"/>
                <w:szCs w:val="28"/>
              </w:rPr>
              <w:t>城市</w:t>
            </w:r>
            <w:r>
              <w:rPr>
                <w:kern w:val="0"/>
                <w:sz w:val="28"/>
                <w:szCs w:val="28"/>
              </w:rPr>
              <w:t>物流配送</w:t>
            </w:r>
            <w:r>
              <w:rPr>
                <w:rFonts w:hint="eastAsia"/>
                <w:kern w:val="0"/>
                <w:sz w:val="28"/>
                <w:szCs w:val="28"/>
              </w:rPr>
              <w:t>领域</w:t>
            </w:r>
            <w:r>
              <w:rPr>
                <w:kern w:val="0"/>
                <w:sz w:val="28"/>
                <w:szCs w:val="28"/>
              </w:rPr>
              <w:t>新能源</w:t>
            </w:r>
            <w:r>
              <w:rPr>
                <w:rFonts w:hint="eastAsia"/>
                <w:kern w:val="0"/>
                <w:sz w:val="28"/>
                <w:szCs w:val="28"/>
              </w:rPr>
              <w:t>汽车</w:t>
            </w:r>
            <w:r>
              <w:rPr>
                <w:kern w:val="0"/>
                <w:sz w:val="28"/>
                <w:szCs w:val="28"/>
              </w:rPr>
              <w:t>占比（%）</w:t>
            </w:r>
          </w:p>
        </w:tc>
        <w:tc>
          <w:tcPr>
            <w:tcW w:w="1230" w:type="dxa"/>
            <w:gridSpan w:val="2"/>
            <w:tcBorders>
              <w:top w:val="single" w:color="auto" w:sz="4" w:space="0"/>
            </w:tcBorders>
            <w:noWrap w:val="0"/>
            <w:vAlign w:val="center"/>
          </w:tcPr>
          <w:p>
            <w:pPr>
              <w:snapToGrid w:val="0"/>
              <w:spacing w:line="480" w:lineRule="exact"/>
              <w:jc w:val="center"/>
              <w:rPr>
                <w:kern w:val="0"/>
                <w:sz w:val="28"/>
                <w:szCs w:val="28"/>
              </w:rPr>
            </w:pPr>
            <w:r>
              <w:rPr>
                <w:kern w:val="0"/>
                <w:sz w:val="28"/>
                <w:szCs w:val="28"/>
              </w:rPr>
              <w:t>7</w:t>
            </w:r>
            <w:r>
              <w:rPr>
                <w:rFonts w:hint="eastAsia"/>
                <w:kern w:val="0"/>
                <w:sz w:val="28"/>
                <w:szCs w:val="28"/>
              </w:rPr>
              <w:t>2</w:t>
            </w:r>
            <w:r>
              <w:rPr>
                <w:kern w:val="0"/>
                <w:sz w:val="28"/>
                <w:szCs w:val="28"/>
              </w:rPr>
              <w:t>、35、20</w:t>
            </w:r>
          </w:p>
        </w:tc>
        <w:tc>
          <w:tcPr>
            <w:tcW w:w="1099" w:type="dxa"/>
            <w:gridSpan w:val="2"/>
            <w:tcBorders>
              <w:top w:val="single" w:color="auto" w:sz="4" w:space="0"/>
            </w:tcBorders>
            <w:noWrap w:val="0"/>
            <w:vAlign w:val="center"/>
          </w:tcPr>
          <w:p>
            <w:pPr>
              <w:snapToGrid w:val="0"/>
              <w:spacing w:line="480" w:lineRule="exact"/>
              <w:jc w:val="center"/>
              <w:rPr>
                <w:kern w:val="0"/>
                <w:sz w:val="28"/>
                <w:szCs w:val="28"/>
              </w:rPr>
            </w:pPr>
            <w:r>
              <w:rPr>
                <w:rFonts w:hint="eastAsia"/>
                <w:kern w:val="0"/>
                <w:sz w:val="28"/>
                <w:szCs w:val="28"/>
              </w:rPr>
              <w:t>预期性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8" w:type="dxa"/>
          <w:jc w:val="center"/>
        </w:trPr>
        <w:tc>
          <w:tcPr>
            <w:tcW w:w="467" w:type="dxa"/>
            <w:gridSpan w:val="2"/>
            <w:tcBorders>
              <w:top w:val="single" w:color="auto" w:sz="4" w:space="0"/>
            </w:tcBorders>
            <w:noWrap w:val="0"/>
            <w:vAlign w:val="center"/>
          </w:tcPr>
          <w:p>
            <w:pPr>
              <w:snapToGrid w:val="0"/>
              <w:spacing w:line="480" w:lineRule="exact"/>
              <w:jc w:val="center"/>
              <w:rPr>
                <w:kern w:val="0"/>
                <w:sz w:val="28"/>
                <w:szCs w:val="28"/>
              </w:rPr>
            </w:pPr>
            <w:r>
              <w:rPr>
                <w:kern w:val="0"/>
                <w:sz w:val="28"/>
                <w:szCs w:val="28"/>
              </w:rPr>
              <w:t>5</w:t>
            </w:r>
          </w:p>
        </w:tc>
        <w:tc>
          <w:tcPr>
            <w:tcW w:w="823" w:type="dxa"/>
            <w:gridSpan w:val="2"/>
            <w:vMerge w:val="continue"/>
            <w:noWrap w:val="0"/>
            <w:vAlign w:val="center"/>
          </w:tcPr>
          <w:p>
            <w:pPr>
              <w:snapToGrid w:val="0"/>
              <w:spacing w:line="480" w:lineRule="exact"/>
              <w:jc w:val="center"/>
              <w:rPr>
                <w:kern w:val="0"/>
                <w:sz w:val="28"/>
                <w:szCs w:val="28"/>
              </w:rPr>
            </w:pPr>
          </w:p>
        </w:tc>
        <w:tc>
          <w:tcPr>
            <w:tcW w:w="4900" w:type="dxa"/>
            <w:gridSpan w:val="2"/>
            <w:tcBorders>
              <w:top w:val="single" w:color="auto" w:sz="4" w:space="0"/>
            </w:tcBorders>
            <w:noWrap w:val="0"/>
            <w:vAlign w:val="center"/>
          </w:tcPr>
          <w:p>
            <w:pPr>
              <w:snapToGrid w:val="0"/>
              <w:spacing w:line="480" w:lineRule="exact"/>
              <w:jc w:val="left"/>
              <w:rPr>
                <w:kern w:val="0"/>
                <w:sz w:val="28"/>
                <w:szCs w:val="28"/>
              </w:rPr>
            </w:pPr>
            <w:r>
              <w:rPr>
                <w:kern w:val="0"/>
                <w:sz w:val="28"/>
                <w:szCs w:val="28"/>
              </w:rPr>
              <w:t>国际集装箱枢纽海港</w:t>
            </w:r>
            <w:r>
              <w:rPr>
                <w:rFonts w:hint="eastAsia"/>
                <w:kern w:val="0"/>
                <w:sz w:val="28"/>
                <w:szCs w:val="28"/>
                <w:vertAlign w:val="superscript"/>
              </w:rPr>
              <w:t>1</w:t>
            </w:r>
            <w:r>
              <w:rPr>
                <w:kern w:val="0"/>
                <w:sz w:val="28"/>
                <w:szCs w:val="28"/>
              </w:rPr>
              <w:t>新能源清洁能源集卡占比（%）</w:t>
            </w:r>
          </w:p>
        </w:tc>
        <w:tc>
          <w:tcPr>
            <w:tcW w:w="1230" w:type="dxa"/>
            <w:gridSpan w:val="2"/>
            <w:tcBorders>
              <w:top w:val="single" w:color="auto" w:sz="4" w:space="0"/>
            </w:tcBorders>
            <w:noWrap w:val="0"/>
            <w:vAlign w:val="center"/>
          </w:tcPr>
          <w:p>
            <w:pPr>
              <w:snapToGrid w:val="0"/>
              <w:spacing w:line="480" w:lineRule="exact"/>
              <w:jc w:val="center"/>
              <w:rPr>
                <w:kern w:val="0"/>
                <w:sz w:val="28"/>
                <w:szCs w:val="28"/>
              </w:rPr>
            </w:pPr>
            <w:r>
              <w:rPr>
                <w:rFonts w:hint="eastAsia"/>
                <w:kern w:val="0"/>
                <w:sz w:val="28"/>
                <w:szCs w:val="28"/>
              </w:rPr>
              <w:t>60</w:t>
            </w:r>
          </w:p>
        </w:tc>
        <w:tc>
          <w:tcPr>
            <w:tcW w:w="1099" w:type="dxa"/>
            <w:gridSpan w:val="2"/>
            <w:tcBorders>
              <w:top w:val="single" w:color="auto" w:sz="4" w:space="0"/>
            </w:tcBorders>
            <w:noWrap w:val="0"/>
            <w:vAlign w:val="center"/>
          </w:tcPr>
          <w:p>
            <w:pPr>
              <w:snapToGrid w:val="0"/>
              <w:spacing w:line="480" w:lineRule="exact"/>
              <w:jc w:val="center"/>
              <w:rPr>
                <w:rFonts w:hint="eastAsia"/>
                <w:kern w:val="0"/>
                <w:sz w:val="28"/>
                <w:szCs w:val="28"/>
              </w:rPr>
            </w:pPr>
            <w:r>
              <w:rPr>
                <w:rFonts w:hint="eastAsia"/>
                <w:kern w:val="0"/>
                <w:sz w:val="28"/>
                <w:szCs w:val="28"/>
              </w:rPr>
              <w:t>预期性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Before w:val="1"/>
          <w:wBefore w:w="108" w:type="dxa"/>
          <w:trHeight w:val="679" w:hRule="atLeast"/>
          <w:jc w:val="center"/>
        </w:trPr>
        <w:tc>
          <w:tcPr>
            <w:tcW w:w="467" w:type="dxa"/>
            <w:gridSpan w:val="2"/>
            <w:tcBorders>
              <w:top w:val="single" w:color="auto" w:sz="4" w:space="0"/>
            </w:tcBorders>
            <w:noWrap w:val="0"/>
            <w:vAlign w:val="center"/>
          </w:tcPr>
          <w:p>
            <w:pPr>
              <w:snapToGrid w:val="0"/>
              <w:spacing w:line="480" w:lineRule="exact"/>
              <w:jc w:val="center"/>
              <w:rPr>
                <w:kern w:val="0"/>
                <w:sz w:val="28"/>
                <w:szCs w:val="28"/>
              </w:rPr>
            </w:pPr>
            <w:r>
              <w:rPr>
                <w:kern w:val="0"/>
                <w:sz w:val="28"/>
                <w:szCs w:val="28"/>
              </w:rPr>
              <w:t>6</w:t>
            </w:r>
          </w:p>
        </w:tc>
        <w:tc>
          <w:tcPr>
            <w:tcW w:w="823" w:type="dxa"/>
            <w:gridSpan w:val="2"/>
            <w:noWrap w:val="0"/>
            <w:vAlign w:val="center"/>
          </w:tcPr>
          <w:p>
            <w:pPr>
              <w:snapToGrid w:val="0"/>
              <w:spacing w:line="480" w:lineRule="exact"/>
              <w:jc w:val="center"/>
              <w:rPr>
                <w:kern w:val="0"/>
                <w:sz w:val="28"/>
                <w:szCs w:val="28"/>
              </w:rPr>
            </w:pPr>
          </w:p>
        </w:tc>
        <w:tc>
          <w:tcPr>
            <w:tcW w:w="4900" w:type="dxa"/>
            <w:gridSpan w:val="2"/>
            <w:tcBorders>
              <w:top w:val="single" w:color="auto" w:sz="4" w:space="0"/>
            </w:tcBorders>
            <w:noWrap w:val="0"/>
            <w:vAlign w:val="center"/>
          </w:tcPr>
          <w:p>
            <w:pPr>
              <w:snapToGrid w:val="0"/>
              <w:spacing w:line="480" w:lineRule="exact"/>
              <w:jc w:val="left"/>
              <w:rPr>
                <w:kern w:val="0"/>
                <w:sz w:val="28"/>
                <w:szCs w:val="28"/>
              </w:rPr>
            </w:pPr>
            <w:r>
              <w:rPr>
                <w:kern w:val="0"/>
                <w:sz w:val="28"/>
                <w:szCs w:val="28"/>
              </w:rPr>
              <w:t>长江经济带港口和水上服务区当年使用岸电</w:t>
            </w:r>
            <w:r>
              <w:rPr>
                <w:rFonts w:hint="eastAsia"/>
                <w:kern w:val="0"/>
                <w:sz w:val="28"/>
                <w:szCs w:val="28"/>
              </w:rPr>
              <w:t>电</w:t>
            </w:r>
            <w:r>
              <w:rPr>
                <w:kern w:val="0"/>
                <w:sz w:val="28"/>
                <w:szCs w:val="28"/>
              </w:rPr>
              <w:t>量较2020年增长率（%）</w:t>
            </w:r>
          </w:p>
        </w:tc>
        <w:tc>
          <w:tcPr>
            <w:tcW w:w="1230" w:type="dxa"/>
            <w:gridSpan w:val="2"/>
            <w:tcBorders>
              <w:top w:val="single" w:color="auto" w:sz="4" w:space="0"/>
            </w:tcBorders>
            <w:noWrap w:val="0"/>
            <w:vAlign w:val="center"/>
          </w:tcPr>
          <w:p>
            <w:pPr>
              <w:snapToGrid w:val="0"/>
              <w:spacing w:line="480" w:lineRule="exact"/>
              <w:jc w:val="center"/>
              <w:rPr>
                <w:kern w:val="0"/>
                <w:sz w:val="28"/>
                <w:szCs w:val="28"/>
              </w:rPr>
            </w:pPr>
            <w:r>
              <w:rPr>
                <w:rFonts w:hint="eastAsia"/>
                <w:kern w:val="0"/>
                <w:sz w:val="28"/>
                <w:szCs w:val="28"/>
              </w:rPr>
              <w:t>10</w:t>
            </w:r>
            <w:r>
              <w:rPr>
                <w:kern w:val="0"/>
                <w:sz w:val="28"/>
                <w:szCs w:val="28"/>
              </w:rPr>
              <w:t>0</w:t>
            </w:r>
          </w:p>
        </w:tc>
        <w:tc>
          <w:tcPr>
            <w:tcW w:w="1099" w:type="dxa"/>
            <w:gridSpan w:val="2"/>
            <w:tcBorders>
              <w:top w:val="single" w:color="auto" w:sz="4" w:space="0"/>
            </w:tcBorders>
            <w:noWrap w:val="0"/>
            <w:vAlign w:val="center"/>
          </w:tcPr>
          <w:p>
            <w:pPr>
              <w:snapToGrid w:val="0"/>
              <w:spacing w:line="480" w:lineRule="exact"/>
              <w:jc w:val="center"/>
              <w:rPr>
                <w:rFonts w:hint="eastAsia"/>
                <w:kern w:val="0"/>
                <w:sz w:val="28"/>
                <w:szCs w:val="28"/>
              </w:rPr>
            </w:pPr>
            <w:r>
              <w:rPr>
                <w:rFonts w:hint="eastAsia"/>
                <w:kern w:val="0"/>
                <w:sz w:val="28"/>
                <w:szCs w:val="28"/>
              </w:rPr>
              <w:t>预期性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Before w:val="1"/>
          <w:wBefore w:w="108" w:type="dxa"/>
          <w:trHeight w:val="926" w:hRule="atLeast"/>
          <w:jc w:val="center"/>
        </w:trPr>
        <w:tc>
          <w:tcPr>
            <w:tcW w:w="467" w:type="dxa"/>
            <w:gridSpan w:val="2"/>
            <w:noWrap w:val="0"/>
            <w:vAlign w:val="center"/>
          </w:tcPr>
          <w:p>
            <w:pPr>
              <w:snapToGrid w:val="0"/>
              <w:spacing w:line="480" w:lineRule="exact"/>
              <w:jc w:val="center"/>
              <w:rPr>
                <w:kern w:val="0"/>
                <w:sz w:val="28"/>
                <w:szCs w:val="28"/>
              </w:rPr>
            </w:pPr>
            <w:r>
              <w:rPr>
                <w:kern w:val="0"/>
                <w:sz w:val="28"/>
                <w:szCs w:val="28"/>
              </w:rPr>
              <w:t>7</w:t>
            </w:r>
          </w:p>
        </w:tc>
        <w:tc>
          <w:tcPr>
            <w:tcW w:w="823" w:type="dxa"/>
            <w:gridSpan w:val="2"/>
            <w:noWrap w:val="0"/>
            <w:vAlign w:val="center"/>
          </w:tcPr>
          <w:p>
            <w:pPr>
              <w:snapToGrid w:val="0"/>
              <w:spacing w:line="480" w:lineRule="exact"/>
              <w:jc w:val="center"/>
              <w:rPr>
                <w:kern w:val="0"/>
                <w:sz w:val="28"/>
                <w:szCs w:val="28"/>
              </w:rPr>
            </w:pPr>
            <w:r>
              <w:rPr>
                <w:kern w:val="0"/>
                <w:sz w:val="28"/>
                <w:szCs w:val="28"/>
              </w:rPr>
              <w:t>运输结构</w:t>
            </w:r>
          </w:p>
        </w:tc>
        <w:tc>
          <w:tcPr>
            <w:tcW w:w="4900" w:type="dxa"/>
            <w:gridSpan w:val="2"/>
            <w:noWrap w:val="0"/>
            <w:vAlign w:val="center"/>
          </w:tcPr>
          <w:p>
            <w:pPr>
              <w:snapToGrid w:val="0"/>
              <w:spacing w:line="480" w:lineRule="exact"/>
              <w:jc w:val="left"/>
              <w:rPr>
                <w:kern w:val="0"/>
                <w:sz w:val="28"/>
                <w:szCs w:val="28"/>
              </w:rPr>
            </w:pPr>
            <w:r>
              <w:rPr>
                <w:kern w:val="0"/>
                <w:sz w:val="28"/>
                <w:szCs w:val="28"/>
              </w:rPr>
              <w:t>集装箱铁水联运量年均增长率（%）</w:t>
            </w:r>
          </w:p>
        </w:tc>
        <w:tc>
          <w:tcPr>
            <w:tcW w:w="1230" w:type="dxa"/>
            <w:gridSpan w:val="2"/>
            <w:noWrap w:val="0"/>
            <w:vAlign w:val="center"/>
          </w:tcPr>
          <w:p>
            <w:pPr>
              <w:snapToGrid w:val="0"/>
              <w:spacing w:line="480" w:lineRule="exact"/>
              <w:jc w:val="center"/>
              <w:rPr>
                <w:kern w:val="0"/>
                <w:sz w:val="28"/>
                <w:szCs w:val="28"/>
              </w:rPr>
            </w:pPr>
            <w:r>
              <w:rPr>
                <w:kern w:val="0"/>
                <w:sz w:val="28"/>
                <w:szCs w:val="28"/>
              </w:rPr>
              <w:t>15</w:t>
            </w:r>
          </w:p>
        </w:tc>
        <w:tc>
          <w:tcPr>
            <w:tcW w:w="1099" w:type="dxa"/>
            <w:gridSpan w:val="2"/>
            <w:noWrap w:val="0"/>
            <w:vAlign w:val="center"/>
          </w:tcPr>
          <w:p>
            <w:pPr>
              <w:snapToGrid w:val="0"/>
              <w:spacing w:line="480" w:lineRule="exact"/>
              <w:jc w:val="center"/>
              <w:rPr>
                <w:kern w:val="0"/>
                <w:sz w:val="28"/>
                <w:szCs w:val="28"/>
              </w:rPr>
            </w:pPr>
            <w:r>
              <w:rPr>
                <w:rFonts w:hint="eastAsia"/>
                <w:kern w:val="0"/>
                <w:sz w:val="28"/>
                <w:szCs w:val="28"/>
              </w:rPr>
              <w:t>预期性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108" w:type="dxa"/>
          <w:jc w:val="center"/>
        </w:trPr>
        <w:tc>
          <w:tcPr>
            <w:tcW w:w="467" w:type="dxa"/>
            <w:gridSpan w:val="2"/>
            <w:tcBorders>
              <w:bottom w:val="single" w:color="auto" w:sz="12" w:space="0"/>
            </w:tcBorders>
            <w:noWrap w:val="0"/>
            <w:vAlign w:val="center"/>
          </w:tcPr>
          <w:p>
            <w:pPr>
              <w:snapToGrid w:val="0"/>
              <w:spacing w:line="480" w:lineRule="exact"/>
              <w:jc w:val="center"/>
              <w:rPr>
                <w:rFonts w:hint="eastAsia"/>
                <w:kern w:val="0"/>
                <w:sz w:val="28"/>
                <w:szCs w:val="28"/>
              </w:rPr>
            </w:pPr>
            <w:r>
              <w:rPr>
                <w:rFonts w:hint="eastAsia"/>
                <w:kern w:val="0"/>
                <w:sz w:val="28"/>
                <w:szCs w:val="28"/>
              </w:rPr>
              <w:t>8</w:t>
            </w:r>
          </w:p>
        </w:tc>
        <w:tc>
          <w:tcPr>
            <w:tcW w:w="823" w:type="dxa"/>
            <w:gridSpan w:val="2"/>
            <w:tcBorders>
              <w:bottom w:val="single" w:color="auto" w:sz="12" w:space="0"/>
            </w:tcBorders>
            <w:noWrap w:val="0"/>
            <w:vAlign w:val="center"/>
          </w:tcPr>
          <w:p>
            <w:pPr>
              <w:snapToGrid w:val="0"/>
              <w:spacing w:line="480" w:lineRule="exact"/>
              <w:jc w:val="center"/>
              <w:rPr>
                <w:kern w:val="0"/>
                <w:sz w:val="28"/>
                <w:szCs w:val="28"/>
              </w:rPr>
            </w:pPr>
          </w:p>
        </w:tc>
        <w:tc>
          <w:tcPr>
            <w:tcW w:w="4900" w:type="dxa"/>
            <w:gridSpan w:val="2"/>
            <w:tcBorders>
              <w:bottom w:val="single" w:color="auto" w:sz="12" w:space="0"/>
            </w:tcBorders>
            <w:noWrap w:val="0"/>
            <w:vAlign w:val="center"/>
          </w:tcPr>
          <w:p>
            <w:pPr>
              <w:tabs>
                <w:tab w:val="left" w:pos="3106"/>
              </w:tabs>
              <w:snapToGrid w:val="0"/>
              <w:spacing w:line="480" w:lineRule="exact"/>
              <w:jc w:val="left"/>
              <w:rPr>
                <w:kern w:val="0"/>
                <w:sz w:val="28"/>
                <w:szCs w:val="28"/>
              </w:rPr>
            </w:pPr>
            <w:r>
              <w:rPr>
                <w:kern w:val="0"/>
                <w:sz w:val="28"/>
                <w:szCs w:val="28"/>
              </w:rPr>
              <w:t>城区常住人口100万以上城市中绿色出行</w:t>
            </w:r>
            <w:r>
              <w:rPr>
                <w:rFonts w:hint="eastAsia"/>
                <w:kern w:val="0"/>
                <w:sz w:val="28"/>
                <w:szCs w:val="28"/>
                <w:vertAlign w:val="superscript"/>
              </w:rPr>
              <w:t>2</w:t>
            </w:r>
            <w:r>
              <w:rPr>
                <w:kern w:val="0"/>
                <w:sz w:val="28"/>
                <w:szCs w:val="28"/>
              </w:rPr>
              <w:t>比例超过70%的城市数量（个）</w:t>
            </w:r>
          </w:p>
        </w:tc>
        <w:tc>
          <w:tcPr>
            <w:tcW w:w="1230" w:type="dxa"/>
            <w:gridSpan w:val="2"/>
            <w:tcBorders>
              <w:bottom w:val="single" w:color="auto" w:sz="12" w:space="0"/>
            </w:tcBorders>
            <w:noWrap w:val="0"/>
            <w:vAlign w:val="center"/>
          </w:tcPr>
          <w:p>
            <w:pPr>
              <w:snapToGrid w:val="0"/>
              <w:spacing w:line="480" w:lineRule="exact"/>
              <w:jc w:val="center"/>
              <w:rPr>
                <w:kern w:val="0"/>
                <w:sz w:val="28"/>
                <w:szCs w:val="28"/>
              </w:rPr>
            </w:pPr>
            <w:r>
              <w:rPr>
                <w:kern w:val="0"/>
                <w:sz w:val="28"/>
                <w:szCs w:val="28"/>
              </w:rPr>
              <w:t>60</w:t>
            </w:r>
          </w:p>
        </w:tc>
        <w:tc>
          <w:tcPr>
            <w:tcW w:w="1099" w:type="dxa"/>
            <w:gridSpan w:val="2"/>
            <w:tcBorders>
              <w:bottom w:val="single" w:color="auto" w:sz="12" w:space="0"/>
            </w:tcBorders>
            <w:noWrap w:val="0"/>
            <w:vAlign w:val="center"/>
          </w:tcPr>
          <w:p>
            <w:pPr>
              <w:snapToGrid w:val="0"/>
              <w:spacing w:line="480" w:lineRule="exact"/>
              <w:jc w:val="center"/>
              <w:rPr>
                <w:kern w:val="0"/>
                <w:sz w:val="28"/>
                <w:szCs w:val="28"/>
              </w:rPr>
            </w:pPr>
            <w:r>
              <w:rPr>
                <w:rFonts w:hint="eastAsia"/>
                <w:kern w:val="0"/>
                <w:sz w:val="28"/>
                <w:szCs w:val="28"/>
              </w:rPr>
              <w:t>预期性</w:t>
            </w:r>
          </w:p>
        </w:tc>
      </w:tr>
    </w:tbl>
    <w:p>
      <w:pPr>
        <w:spacing w:line="460" w:lineRule="exact"/>
        <w:jc w:val="left"/>
        <w:rPr>
          <w:sz w:val="24"/>
        </w:rPr>
      </w:pPr>
      <w:r>
        <w:rPr>
          <w:sz w:val="24"/>
        </w:rPr>
        <w:t>备注：</w:t>
      </w:r>
      <w:r>
        <w:rPr>
          <w:rFonts w:hint="eastAsia"/>
          <w:sz w:val="24"/>
        </w:rPr>
        <w:t>1.国际集装箱枢纽海港指上海港、大连港、天津港、青岛港、连云港港、宁波舟山港、厦门港、深圳港、广州港、北部湾港、洋浦港11个港口。2</w:t>
      </w:r>
      <w:r>
        <w:rPr>
          <w:sz w:val="24"/>
          <w:lang w:val="en"/>
        </w:rPr>
        <w:t>.</w:t>
      </w:r>
      <w:r>
        <w:rPr>
          <w:sz w:val="24"/>
        </w:rPr>
        <w:t>绿色出行包括城市公共交通以及自行车、步行等慢行交通。</w:t>
      </w:r>
    </w:p>
    <w:p>
      <w:pPr>
        <w:pStyle w:val="2"/>
        <w:spacing w:line="580" w:lineRule="exact"/>
        <w:ind w:firstLine="640"/>
      </w:pPr>
      <w:bookmarkStart w:id="98" w:name="_Toc56103153"/>
      <w:bookmarkStart w:id="99" w:name="_Toc1826780932"/>
      <w:bookmarkStart w:id="100" w:name="_Toc459645841"/>
      <w:bookmarkStart w:id="101" w:name="_Toc58280693"/>
      <w:bookmarkStart w:id="102" w:name="_Toc222780000"/>
      <w:bookmarkStart w:id="103" w:name="_Toc1378005696"/>
      <w:bookmarkStart w:id="104" w:name="_Toc73866715"/>
      <w:bookmarkStart w:id="105" w:name="_Toc2095736"/>
      <w:bookmarkStart w:id="106" w:name="_Toc1517628937"/>
      <w:bookmarkStart w:id="107" w:name="_Toc1952697512"/>
      <w:bookmarkStart w:id="108" w:name="_Toc31087"/>
      <w:r>
        <w:t>三、主要任务</w:t>
      </w:r>
      <w:bookmarkEnd w:id="98"/>
      <w:bookmarkEnd w:id="99"/>
      <w:bookmarkEnd w:id="100"/>
      <w:bookmarkEnd w:id="101"/>
      <w:bookmarkEnd w:id="102"/>
      <w:bookmarkEnd w:id="103"/>
      <w:bookmarkEnd w:id="104"/>
      <w:bookmarkEnd w:id="105"/>
      <w:bookmarkEnd w:id="106"/>
      <w:bookmarkEnd w:id="107"/>
      <w:bookmarkEnd w:id="108"/>
    </w:p>
    <w:p>
      <w:pPr>
        <w:pStyle w:val="3"/>
        <w:spacing w:line="580" w:lineRule="exact"/>
        <w:ind w:firstLine="643"/>
        <w:rPr>
          <w:rFonts w:ascii="Times New Roman" w:hAnsi="Times New Roman"/>
        </w:rPr>
      </w:pPr>
      <w:bookmarkStart w:id="109" w:name="_Toc1749746847"/>
      <w:bookmarkStart w:id="110" w:name="_Toc56103154"/>
      <w:bookmarkStart w:id="111" w:name="_Toc1028604235"/>
      <w:bookmarkStart w:id="112" w:name="_Toc2103928823"/>
      <w:bookmarkStart w:id="113" w:name="_Toc16554"/>
      <w:bookmarkStart w:id="114" w:name="_Toc73866716"/>
      <w:bookmarkStart w:id="115" w:name="_Toc1398488265"/>
      <w:bookmarkStart w:id="116" w:name="_Toc1091399493"/>
      <w:bookmarkStart w:id="117" w:name="_Toc58280694"/>
      <w:bookmarkStart w:id="118" w:name="_Toc998982663"/>
      <w:bookmarkStart w:id="119" w:name="_Toc593828821"/>
      <w:r>
        <w:rPr>
          <w:rFonts w:ascii="Times New Roman" w:hAnsi="Times New Roman"/>
        </w:rPr>
        <w:t>（一）优化空间布局，建设绿色交通基础设施。</w:t>
      </w:r>
      <w:bookmarkEnd w:id="109"/>
      <w:bookmarkEnd w:id="110"/>
      <w:bookmarkEnd w:id="111"/>
      <w:bookmarkEnd w:id="112"/>
      <w:bookmarkEnd w:id="113"/>
      <w:bookmarkEnd w:id="114"/>
      <w:bookmarkEnd w:id="115"/>
      <w:bookmarkEnd w:id="116"/>
      <w:bookmarkEnd w:id="117"/>
      <w:bookmarkEnd w:id="118"/>
      <w:bookmarkEnd w:id="119"/>
    </w:p>
    <w:p>
      <w:pPr>
        <w:spacing w:line="580" w:lineRule="exact"/>
        <w:ind w:firstLine="643" w:firstLineChars="200"/>
        <w:rPr>
          <w:sz w:val="32"/>
        </w:rPr>
      </w:pPr>
      <w:r>
        <w:rPr>
          <w:b/>
          <w:bCs/>
          <w:sz w:val="32"/>
          <w:szCs w:val="32"/>
        </w:rPr>
        <w:t>优化</w:t>
      </w:r>
      <w:r>
        <w:rPr>
          <w:b/>
          <w:bCs/>
          <w:sz w:val="32"/>
        </w:rPr>
        <w:t>交通基础设施</w:t>
      </w:r>
      <w:r>
        <w:rPr>
          <w:b/>
          <w:bCs/>
          <w:sz w:val="32"/>
          <w:szCs w:val="32"/>
        </w:rPr>
        <w:t>空间布局</w:t>
      </w:r>
      <w:r>
        <w:rPr>
          <w:sz w:val="32"/>
        </w:rPr>
        <w:t>。强化国土空间规划对交通基础设施规划建设的指导约束作用，推动形成与生态保护红线相协调、与</w:t>
      </w:r>
      <w:r>
        <w:rPr>
          <w:sz w:val="32"/>
          <w:szCs w:val="32"/>
        </w:rPr>
        <w:t>资源环境</w:t>
      </w:r>
      <w:r>
        <w:rPr>
          <w:sz w:val="32"/>
        </w:rPr>
        <w:t>承载力相适应的</w:t>
      </w:r>
      <w:r>
        <w:rPr>
          <w:sz w:val="32"/>
          <w:szCs w:val="32"/>
        </w:rPr>
        <w:t>综合立体交通网。进一步加强</w:t>
      </w:r>
      <w:r>
        <w:rPr>
          <w:sz w:val="32"/>
        </w:rPr>
        <w:t>交通</w:t>
      </w:r>
      <w:r>
        <w:rPr>
          <w:sz w:val="32"/>
          <w:szCs w:val="32"/>
        </w:rPr>
        <w:t>基础设施</w:t>
      </w:r>
      <w:r>
        <w:rPr>
          <w:sz w:val="32"/>
        </w:rPr>
        <w:t>规划</w:t>
      </w:r>
      <w:r>
        <w:rPr>
          <w:sz w:val="32"/>
          <w:szCs w:val="32"/>
        </w:rPr>
        <w:t>和建设项目</w:t>
      </w:r>
      <w:r>
        <w:rPr>
          <w:sz w:val="32"/>
        </w:rPr>
        <w:t>环境影响评价，</w:t>
      </w:r>
      <w:r>
        <w:rPr>
          <w:kern w:val="0"/>
          <w:sz w:val="32"/>
        </w:rPr>
        <w:t>保障规划实施与生态保护要求相统一</w:t>
      </w:r>
      <w:r>
        <w:rPr>
          <w:sz w:val="32"/>
          <w:szCs w:val="32"/>
        </w:rPr>
        <w:t>。</w:t>
      </w:r>
      <w:r>
        <w:rPr>
          <w:sz w:val="32"/>
        </w:rPr>
        <w:t>强化</w:t>
      </w:r>
      <w:r>
        <w:rPr>
          <w:sz w:val="32"/>
          <w:szCs w:val="32"/>
        </w:rPr>
        <w:t>交通建设项目</w:t>
      </w:r>
      <w:r>
        <w:rPr>
          <w:sz w:val="32"/>
        </w:rPr>
        <w:t>生态选线</w:t>
      </w:r>
      <w:r>
        <w:rPr>
          <w:sz w:val="32"/>
          <w:szCs w:val="32"/>
        </w:rPr>
        <w:t>选址</w:t>
      </w:r>
      <w:r>
        <w:rPr>
          <w:sz w:val="32"/>
        </w:rPr>
        <w:t>，将生态环保理念贯穿交通基础设施规划、建设、运营和维护全过程，合理避让具有重要生态功能的国土空间</w:t>
      </w:r>
      <w:r>
        <w:rPr>
          <w:sz w:val="32"/>
          <w:szCs w:val="32"/>
        </w:rPr>
        <w:t>。</w:t>
      </w:r>
      <w:r>
        <w:rPr>
          <w:sz w:val="32"/>
        </w:rPr>
        <w:t>建设集约化、一体化绿色综合交通枢纽。合理有序开发港口岸线资源，发展集约化和专业化港区，促进区域航道、锚地和引航等资源共享共用。</w:t>
      </w:r>
    </w:p>
    <w:p>
      <w:pPr>
        <w:spacing w:line="580" w:lineRule="exact"/>
        <w:ind w:firstLine="643" w:firstLineChars="200"/>
        <w:rPr>
          <w:sz w:val="32"/>
        </w:rPr>
      </w:pPr>
      <w:bookmarkStart w:id="120" w:name="_Hlk41507518"/>
      <w:r>
        <w:rPr>
          <w:b/>
          <w:bCs/>
          <w:sz w:val="32"/>
        </w:rPr>
        <w:t>深化绿色公路建设</w:t>
      </w:r>
      <w:bookmarkEnd w:id="120"/>
      <w:r>
        <w:rPr>
          <w:sz w:val="32"/>
        </w:rPr>
        <w:t>。因地制宜推进新开工的高速公路全面落实绿色公路建设要求，鼓励普通国省干线公路按照绿色公路要求建设，引导有条件的农村公路参照绿色公路要求协同</w:t>
      </w:r>
      <w:r>
        <w:rPr>
          <w:sz w:val="32"/>
          <w:szCs w:val="32"/>
        </w:rPr>
        <w:t>推进</w:t>
      </w:r>
      <w:r>
        <w:rPr>
          <w:sz w:val="32"/>
        </w:rPr>
        <w:t>“四好农村路”建设。强化</w:t>
      </w:r>
      <w:r>
        <w:rPr>
          <w:sz w:val="32"/>
          <w:szCs w:val="32"/>
        </w:rPr>
        <w:t>公路</w:t>
      </w:r>
      <w:r>
        <w:rPr>
          <w:sz w:val="32"/>
        </w:rPr>
        <w:t>生态环境保护工作，做好原生植被保护和近自然生态恢复、动物通道建设、湿地水系连通等工作，降低新改（扩）建项目对重要生态系统和保护物种的影响。</w:t>
      </w:r>
      <w:r>
        <w:rPr>
          <w:sz w:val="32"/>
          <w:szCs w:val="32"/>
        </w:rPr>
        <w:t>推动交通基础设施标准化、智能化、工业化建造，强化永临结合施工，推进建养一体化，降低全</w:t>
      </w:r>
      <w:r>
        <w:rPr>
          <w:rFonts w:hint="eastAsia"/>
          <w:sz w:val="32"/>
          <w:szCs w:val="32"/>
        </w:rPr>
        <w:t>生命</w:t>
      </w:r>
      <w:r>
        <w:rPr>
          <w:sz w:val="32"/>
          <w:szCs w:val="32"/>
        </w:rPr>
        <w:t>周期资源消耗。</w:t>
      </w:r>
      <w:r>
        <w:rPr>
          <w:sz w:val="32"/>
        </w:rPr>
        <w:t>完善生态环境敏感路段跨河桥梁排水设施建设及养护。</w:t>
      </w:r>
      <w:r>
        <w:rPr>
          <w:bCs/>
          <w:sz w:val="32"/>
          <w:szCs w:val="32"/>
        </w:rPr>
        <w:t>加强服务区污水、垃圾等污染治理，</w:t>
      </w:r>
      <w:r>
        <w:rPr>
          <w:sz w:val="32"/>
          <w:szCs w:val="32"/>
        </w:rPr>
        <w:t>鼓励</w:t>
      </w:r>
      <w:r>
        <w:rPr>
          <w:bCs/>
          <w:sz w:val="32"/>
          <w:szCs w:val="32"/>
        </w:rPr>
        <w:t>老旧服务区开展</w:t>
      </w:r>
      <w:r>
        <w:rPr>
          <w:sz w:val="32"/>
        </w:rPr>
        <w:t>节能环保</w:t>
      </w:r>
      <w:r>
        <w:rPr>
          <w:bCs/>
          <w:sz w:val="32"/>
          <w:szCs w:val="32"/>
        </w:rPr>
        <w:t>升级改造，</w:t>
      </w:r>
      <w:r>
        <w:rPr>
          <w:sz w:val="32"/>
        </w:rPr>
        <w:t>新建</w:t>
      </w:r>
      <w:r>
        <w:rPr>
          <w:sz w:val="32"/>
          <w:szCs w:val="32"/>
        </w:rPr>
        <w:t>公路</w:t>
      </w:r>
      <w:r>
        <w:rPr>
          <w:sz w:val="32"/>
        </w:rPr>
        <w:t>服务区推行节能建筑设计和建设</w:t>
      </w:r>
      <w:r>
        <w:rPr>
          <w:sz w:val="32"/>
          <w:szCs w:val="32"/>
        </w:rPr>
        <w:t>。提高交通基础设施固碳能力，到2025年，湿润地区高速公路及普通国省干线公路可绿化里程绿化率达到95%以上，半湿润区达到85%以上</w:t>
      </w:r>
      <w:r>
        <w:rPr>
          <w:sz w:val="32"/>
        </w:rPr>
        <w:t>。推动交通与旅游融合发展，</w:t>
      </w:r>
      <w:r>
        <w:rPr>
          <w:sz w:val="32"/>
          <w:szCs w:val="32"/>
        </w:rPr>
        <w:t>完善客运场站等交通设施旅游服务功能，因地制宜打造一批旅游公路、旅游服务区。</w:t>
      </w:r>
    </w:p>
    <w:p>
      <w:pPr>
        <w:spacing w:line="580" w:lineRule="exact"/>
        <w:ind w:firstLine="643" w:firstLineChars="200"/>
        <w:rPr>
          <w:rFonts w:hint="eastAsia"/>
          <w:sz w:val="32"/>
          <w:szCs w:val="32"/>
        </w:rPr>
      </w:pPr>
      <w:bookmarkStart w:id="121" w:name="_Hlk41507525"/>
      <w:r>
        <w:rPr>
          <w:b/>
          <w:bCs/>
          <w:sz w:val="32"/>
        </w:rPr>
        <w:t>深入推进绿色港口和绿色航道建设</w:t>
      </w:r>
      <w:bookmarkEnd w:id="121"/>
      <w:r>
        <w:rPr>
          <w:sz w:val="32"/>
        </w:rPr>
        <w:t>。</w:t>
      </w:r>
      <w:r>
        <w:rPr>
          <w:sz w:val="32"/>
          <w:szCs w:val="32"/>
        </w:rPr>
        <w:t>全面提升港口污染防治、节能低碳、生态保护、资源节约循环利用及绿色运输组织水平，持续推进绿色港口建设工作，鼓励有条件的港区或港口整体建设绿色港区（港口）。</w:t>
      </w:r>
      <w:r>
        <w:rPr>
          <w:sz w:val="32"/>
        </w:rPr>
        <w:t>推动内河老旧码头升级改造，</w:t>
      </w:r>
      <w:r>
        <w:rPr>
          <w:sz w:val="32"/>
          <w:szCs w:val="32"/>
        </w:rPr>
        <w:t>积极推进</w:t>
      </w:r>
      <w:r>
        <w:rPr>
          <w:sz w:val="32"/>
        </w:rPr>
        <w:t>散乱码头</w:t>
      </w:r>
      <w:r>
        <w:rPr>
          <w:sz w:val="32"/>
          <w:szCs w:val="32"/>
        </w:rPr>
        <w:t>优化</w:t>
      </w:r>
      <w:r>
        <w:rPr>
          <w:sz w:val="32"/>
        </w:rPr>
        <w:t>整合和</w:t>
      </w:r>
      <w:r>
        <w:rPr>
          <w:sz w:val="32"/>
          <w:szCs w:val="32"/>
        </w:rPr>
        <w:t>有序</w:t>
      </w:r>
      <w:r>
        <w:rPr>
          <w:sz w:val="32"/>
        </w:rPr>
        <w:t>退出，鼓励开展陆域、水域生态修复。加大绿色航道建设新技术、新材料、新工艺和新结构引进和研发力度，积极推动航道治理与生境修复营造相结合，加快推广航道工程绿色建养技术，优先采用生态影响较小的航道整治技术与施工工艺</w:t>
      </w:r>
      <w:r>
        <w:rPr>
          <w:sz w:val="32"/>
          <w:szCs w:val="32"/>
        </w:rPr>
        <w:t>，推广生态友好型新材料、新结构在航道工程中的应用，加强水生生态保护，及时开展航道生态修复和生态补偿</w:t>
      </w:r>
      <w:r>
        <w:rPr>
          <w:sz w:val="32"/>
        </w:rPr>
        <w:t>。</w:t>
      </w:r>
      <w:r>
        <w:rPr>
          <w:sz w:val="32"/>
          <w:szCs w:val="32"/>
        </w:rPr>
        <w:t>探索</w:t>
      </w:r>
      <w:r>
        <w:rPr>
          <w:sz w:val="32"/>
        </w:rPr>
        <w:t>建设</w:t>
      </w:r>
      <w:r>
        <w:rPr>
          <w:sz w:val="32"/>
          <w:szCs w:val="32"/>
        </w:rPr>
        <w:t>集岸电、船用充电、污染物</w:t>
      </w:r>
      <w:r>
        <w:rPr>
          <w:sz w:val="32"/>
        </w:rPr>
        <w:t>接收、LNG加注</w:t>
      </w:r>
      <w:r>
        <w:rPr>
          <w:sz w:val="32"/>
          <w:szCs w:val="32"/>
        </w:rPr>
        <w:t>等</w:t>
      </w:r>
      <w:r>
        <w:rPr>
          <w:sz w:val="32"/>
        </w:rPr>
        <w:t>服务</w:t>
      </w:r>
      <w:r>
        <w:rPr>
          <w:sz w:val="32"/>
          <w:szCs w:val="32"/>
        </w:rPr>
        <w:t>于一体</w:t>
      </w:r>
      <w:r>
        <w:rPr>
          <w:sz w:val="32"/>
        </w:rPr>
        <w:t>的</w:t>
      </w:r>
      <w:r>
        <w:rPr>
          <w:sz w:val="32"/>
          <w:szCs w:val="32"/>
        </w:rPr>
        <w:t>内河水上绿色航运</w:t>
      </w:r>
      <w:r>
        <w:rPr>
          <w:sz w:val="32"/>
        </w:rPr>
        <w:t>综合服务区</w:t>
      </w:r>
      <w:r>
        <w:rPr>
          <w:sz w:val="32"/>
          <w:szCs w:val="32"/>
        </w:rPr>
        <w:t>。开展旅游航道建设，打造一批具有特色功能的旅游航道和水上旅游客运线路</w:t>
      </w:r>
      <w:r>
        <w:rPr>
          <w:rFonts w:hint="eastAsia"/>
          <w:sz w:val="32"/>
          <w:szCs w:val="32"/>
        </w:rPr>
        <w:t>。</w:t>
      </w:r>
    </w:p>
    <w:p>
      <w:pPr>
        <w:spacing w:line="580" w:lineRule="exact"/>
        <w:ind w:firstLine="643" w:firstLineChars="200"/>
        <w:rPr>
          <w:sz w:val="32"/>
        </w:rPr>
      </w:pPr>
      <w:r>
        <w:rPr>
          <w:b/>
          <w:bCs/>
          <w:sz w:val="32"/>
        </w:rPr>
        <w:t>推进交通资源循环利用</w:t>
      </w:r>
      <w:r>
        <w:rPr>
          <w:sz w:val="32"/>
        </w:rPr>
        <w:t>。推广交通基础设施废旧材料、设施设备、施工材料等综合利用，鼓励废旧轮胎、工业固废、建筑废弃物在交通建设领域的规模化应用。在西北、华北等干旱缺水地区，鼓励高速公路服务区、枢纽场站等污水循环利用和雨水收集利用。推进航道疏浚土综合利用。</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pPr>
              <w:spacing w:line="580" w:lineRule="exact"/>
              <w:jc w:val="center"/>
              <w:rPr>
                <w:rFonts w:eastAsia="黑体"/>
              </w:rPr>
            </w:pPr>
            <w:r>
              <w:rPr>
                <w:rFonts w:eastAsia="黑体"/>
              </w:rPr>
              <w:t>专栏一  绿色交通基础设施建设</w:t>
            </w:r>
            <w:r>
              <w:rPr>
                <w:rFonts w:eastAsia="黑体"/>
                <w:bCs/>
                <w:szCs w:val="30"/>
              </w:rPr>
              <w:t>行动</w:t>
            </w:r>
          </w:p>
          <w:p>
            <w:pPr>
              <w:spacing w:line="580" w:lineRule="exact"/>
              <w:ind w:firstLine="602" w:firstLineChars="200"/>
            </w:pPr>
            <w:r>
              <w:rPr>
                <w:b/>
              </w:rPr>
              <w:t>绿色</w:t>
            </w:r>
            <w:r>
              <w:rPr>
                <w:b/>
                <w:szCs w:val="30"/>
              </w:rPr>
              <w:t>公路建设</w:t>
            </w:r>
            <w:r>
              <w:rPr>
                <w:b/>
              </w:rPr>
              <w:t>。</w:t>
            </w:r>
            <w:r>
              <w:t>以“十四五”新开工高速公路和普通国省干线公路为重点，推进施工标准化和工业化建造，鼓励施工材料、工艺和技术创新，推广钢结构桥梁和BIM技术应用，完善旅游服务功能，鼓励历史文化传承设计创作，促进资源集约利用、清洁能源利用、生态保护及污染防治，降低公路全</w:t>
            </w:r>
            <w:r>
              <w:rPr>
                <w:rFonts w:hint="eastAsia"/>
              </w:rPr>
              <w:t>生命</w:t>
            </w:r>
            <w:r>
              <w:t>周期成本，更好地与自然环境和社会环境相协调。</w:t>
            </w:r>
          </w:p>
          <w:p>
            <w:pPr>
              <w:spacing w:line="580" w:lineRule="exact"/>
              <w:ind w:firstLine="602" w:firstLineChars="200"/>
              <w:rPr>
                <w:szCs w:val="30"/>
              </w:rPr>
            </w:pPr>
            <w:r>
              <w:rPr>
                <w:b/>
                <w:szCs w:val="30"/>
              </w:rPr>
              <w:t>公路路面材料循环利用。</w:t>
            </w:r>
            <w:r>
              <w:rPr>
                <w:szCs w:val="30"/>
              </w:rPr>
              <w:t>在全国高速公路、普通国省干线公路、农村公路改扩建和修复养护工程中，积极应用路面材料循环再生技术，高速公路、普通国省干线公路废旧沥青路面材料循环利用率分别达到95%和80%以上。</w:t>
            </w:r>
          </w:p>
          <w:p>
            <w:pPr>
              <w:spacing w:line="580" w:lineRule="exact"/>
              <w:ind w:firstLine="602" w:firstLineChars="200"/>
              <w:rPr>
                <w:strike/>
                <w:highlight w:val="yellow"/>
              </w:rPr>
            </w:pPr>
            <w:r>
              <w:rPr>
                <w:b/>
                <w:szCs w:val="30"/>
              </w:rPr>
              <w:t>工业固废和隧道弃渣循环利用。</w:t>
            </w:r>
            <w:r>
              <w:rPr>
                <w:szCs w:val="30"/>
              </w:rPr>
              <w:t>推动山西、陕西、蒙西等地区应用煤渣、粉煤灰等作为公路路基材料，推动河北、山东、江苏等省份应用炼钢炉渣和城市建筑废弃物等作为公路路基材料。推进隧道弃渣用于公路路基填筑和机制砂、水泥砖生产。</w:t>
            </w:r>
          </w:p>
        </w:tc>
      </w:tr>
    </w:tbl>
    <w:p>
      <w:pPr>
        <w:pStyle w:val="3"/>
        <w:spacing w:line="580" w:lineRule="exact"/>
        <w:ind w:firstLine="643"/>
        <w:rPr>
          <w:rFonts w:ascii="Times New Roman" w:hAnsi="Times New Roman"/>
        </w:rPr>
      </w:pPr>
      <w:bookmarkStart w:id="122" w:name="_Toc56103155"/>
      <w:bookmarkStart w:id="123" w:name="_Toc767650381"/>
      <w:bookmarkStart w:id="124" w:name="_Toc468034160"/>
      <w:bookmarkStart w:id="125" w:name="_Toc58280695"/>
      <w:bookmarkStart w:id="126" w:name="_Toc504313833"/>
      <w:bookmarkStart w:id="127" w:name="_Toc9045"/>
      <w:bookmarkStart w:id="128" w:name="_Toc1231623205"/>
      <w:bookmarkStart w:id="129" w:name="_Toc215776123"/>
      <w:bookmarkStart w:id="130" w:name="_Toc1495446015"/>
      <w:bookmarkStart w:id="131" w:name="_Toc2108933408"/>
      <w:bookmarkStart w:id="132" w:name="_Toc73866717"/>
      <w:r>
        <w:rPr>
          <w:rFonts w:ascii="Times New Roman" w:hAnsi="Times New Roman"/>
        </w:rPr>
        <w:t>（二）优化交通运输结构，提升综合运输能效。</w:t>
      </w:r>
      <w:bookmarkEnd w:id="122"/>
      <w:bookmarkEnd w:id="123"/>
      <w:bookmarkEnd w:id="124"/>
      <w:bookmarkEnd w:id="125"/>
      <w:bookmarkEnd w:id="126"/>
      <w:bookmarkEnd w:id="127"/>
      <w:bookmarkEnd w:id="128"/>
      <w:bookmarkEnd w:id="129"/>
      <w:bookmarkEnd w:id="130"/>
      <w:bookmarkEnd w:id="131"/>
      <w:bookmarkEnd w:id="132"/>
    </w:p>
    <w:p>
      <w:pPr>
        <w:spacing w:line="580" w:lineRule="exact"/>
        <w:ind w:firstLine="643" w:firstLineChars="200"/>
        <w:rPr>
          <w:color w:val="FF0000"/>
          <w:kern w:val="0"/>
          <w:sz w:val="32"/>
        </w:rPr>
      </w:pPr>
      <w:r>
        <w:rPr>
          <w:b/>
          <w:bCs/>
          <w:kern w:val="0"/>
          <w:sz w:val="32"/>
        </w:rPr>
        <w:t>持续优化调整运输结构</w:t>
      </w:r>
      <w:r>
        <w:rPr>
          <w:kern w:val="0"/>
          <w:sz w:val="32"/>
        </w:rPr>
        <w:t>。加快推进港口集疏运铁路、物流园区及大型工矿企业铁路专用线建设，推动大宗货物及中长距离货物运输</w:t>
      </w:r>
      <w:r>
        <w:rPr>
          <w:rFonts w:hint="eastAsia"/>
          <w:kern w:val="0"/>
          <w:sz w:val="32"/>
        </w:rPr>
        <w:t>“</w:t>
      </w:r>
      <w:r>
        <w:rPr>
          <w:kern w:val="0"/>
          <w:sz w:val="32"/>
        </w:rPr>
        <w:t>公转铁</w:t>
      </w:r>
      <w:r>
        <w:rPr>
          <w:rFonts w:hint="eastAsia"/>
          <w:kern w:val="0"/>
          <w:sz w:val="32"/>
        </w:rPr>
        <w:t>”“</w:t>
      </w:r>
      <w:r>
        <w:rPr>
          <w:kern w:val="0"/>
          <w:sz w:val="32"/>
        </w:rPr>
        <w:t>公转水</w:t>
      </w:r>
      <w:r>
        <w:rPr>
          <w:rFonts w:hint="eastAsia"/>
          <w:kern w:val="0"/>
          <w:sz w:val="32"/>
        </w:rPr>
        <w:t>”</w:t>
      </w:r>
      <w:r>
        <w:rPr>
          <w:kern w:val="0"/>
          <w:sz w:val="32"/>
        </w:rPr>
        <w:t>。推进港口、大型工矿企业大宗货物主要采用铁路、水运、封闭式皮带廊道、新能源和清洁能源汽车等绿色运输方式。统筹江海直达和江海联运发展，积极推进干散货、集装箱江海直达运输，提高水水中转货运量。</w:t>
      </w:r>
    </w:p>
    <w:p>
      <w:pPr>
        <w:spacing w:line="580" w:lineRule="exact"/>
        <w:ind w:firstLine="643" w:firstLineChars="200"/>
        <w:rPr>
          <w:kern w:val="0"/>
          <w:sz w:val="32"/>
        </w:rPr>
      </w:pPr>
      <w:r>
        <w:rPr>
          <w:b/>
          <w:bCs/>
          <w:kern w:val="0"/>
          <w:sz w:val="32"/>
        </w:rPr>
        <w:t>提高运输组织效率</w:t>
      </w:r>
      <w:r>
        <w:rPr>
          <w:kern w:val="0"/>
          <w:sz w:val="32"/>
        </w:rPr>
        <w:t>。深入推进多式联运发展，推进综合货运枢纽建设</w:t>
      </w:r>
      <w:r>
        <w:rPr>
          <w:kern w:val="0"/>
          <w:sz w:val="32"/>
          <w:szCs w:val="32"/>
        </w:rPr>
        <w:t>，推动铁水、公铁、公水、空陆等联运发展。推进多式联运</w:t>
      </w:r>
      <w:r>
        <w:rPr>
          <w:kern w:val="0"/>
          <w:sz w:val="32"/>
        </w:rPr>
        <w:t>示范工程建设，</w:t>
      </w:r>
      <w:r>
        <w:rPr>
          <w:sz w:val="32"/>
          <w:szCs w:val="32"/>
        </w:rPr>
        <w:t>加快培育一批具有全球影响力的多式联运龙头企业</w:t>
      </w:r>
      <w:r>
        <w:rPr>
          <w:kern w:val="0"/>
          <w:sz w:val="32"/>
        </w:rPr>
        <w:t>。</w:t>
      </w:r>
      <w:r>
        <w:rPr>
          <w:sz w:val="32"/>
        </w:rPr>
        <w:t>探索推广应用集装箱模块化汽车列车运输，提高多式联运占比。</w:t>
      </w:r>
      <w:r>
        <w:rPr>
          <w:kern w:val="0"/>
          <w:sz w:val="32"/>
        </w:rPr>
        <w:t>推动城市建筑材料及生活物资等采用公铁水联运、新能源和清洁能源汽车等运输方式。继续开展城市绿色货运配送示范工程建设，鼓励共同配送、集中配送、分时配送等集约化配送模式发展。引导网络平台道路货物运输规范发展</w:t>
      </w:r>
      <w:r>
        <w:rPr>
          <w:sz w:val="32"/>
          <w:szCs w:val="32"/>
        </w:rPr>
        <w:t>，有效降低空驶率</w:t>
      </w:r>
      <w:r>
        <w:rPr>
          <w:kern w:val="0"/>
          <w:sz w:val="32"/>
        </w:rPr>
        <w:t>。</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pPr>
              <w:spacing w:line="580" w:lineRule="exact"/>
              <w:jc w:val="center"/>
            </w:pPr>
            <w:r>
              <w:rPr>
                <w:rFonts w:eastAsia="黑体"/>
              </w:rPr>
              <w:t>专栏</w:t>
            </w:r>
            <w:r>
              <w:rPr>
                <w:rFonts w:eastAsia="黑体"/>
                <w:szCs w:val="30"/>
              </w:rPr>
              <w:t>二</w:t>
            </w:r>
            <w:r>
              <w:rPr>
                <w:rFonts w:eastAsia="黑体"/>
              </w:rPr>
              <w:t xml:space="preserve">  优化调整运输结构</w:t>
            </w:r>
            <w:r>
              <w:rPr>
                <w:rFonts w:eastAsia="黑体"/>
                <w:szCs w:val="30"/>
              </w:rPr>
              <w:t>行动</w:t>
            </w:r>
          </w:p>
          <w:p>
            <w:pPr>
              <w:spacing w:line="580" w:lineRule="exact"/>
              <w:ind w:firstLine="602" w:firstLineChars="200"/>
            </w:pPr>
            <w:r>
              <w:rPr>
                <w:b/>
              </w:rPr>
              <w:t>深入推进京津冀及周边地区、晋陕蒙煤炭主产区运输绿色低碳转型</w:t>
            </w:r>
            <w:r>
              <w:t>。进一步加快推进港口、大型工矿企业“公转铁”“公转水”，</w:t>
            </w:r>
            <w:r>
              <w:rPr>
                <w:bCs/>
              </w:rPr>
              <w:t>京津冀及周边地区</w:t>
            </w:r>
            <w:r>
              <w:t>沿海主要港口矿石、焦炭采用铁路、水运和封闭式皮带廊道、新能源汽车运输比例达到70%以上。</w:t>
            </w:r>
            <w:r>
              <w:rPr>
                <w:bCs/>
              </w:rPr>
              <w:t>晋陕蒙煤炭主产区</w:t>
            </w:r>
            <w:r>
              <w:t>具有铁路专用线的大型工矿企业煤炭、矿石、焦炭等绿色运输比例大幅提升，出省</w:t>
            </w:r>
            <w:r>
              <w:rPr>
                <w:szCs w:val="30"/>
              </w:rPr>
              <w:t>运距500公里以上的</w:t>
            </w:r>
            <w:r>
              <w:t>煤炭和焦炭铁路运输比例力争达到80%以上。</w:t>
            </w:r>
          </w:p>
          <w:p>
            <w:pPr>
              <w:spacing w:line="580" w:lineRule="exact"/>
              <w:ind w:firstLine="600"/>
              <w:rPr>
                <w:kern w:val="0"/>
                <w:sz w:val="32"/>
              </w:rPr>
            </w:pPr>
            <w:r>
              <w:rPr>
                <w:b/>
              </w:rPr>
              <w:t>加快推进长三角地区、粤港澳大湾区铁水联运发展</w:t>
            </w:r>
            <w:r>
              <w:t>。加快水水中转码头及疏港铁路建设，大幅提高集装箱水水中转和铁水联运比例，集装箱铁水联运量年均增长15%以上。</w:t>
            </w:r>
          </w:p>
        </w:tc>
      </w:tr>
    </w:tbl>
    <w:p>
      <w:pPr>
        <w:spacing w:line="580" w:lineRule="exact"/>
        <w:ind w:firstLine="643" w:firstLineChars="200"/>
        <w:rPr>
          <w:sz w:val="32"/>
        </w:rPr>
      </w:pPr>
      <w:r>
        <w:rPr>
          <w:b/>
          <w:bCs/>
          <w:sz w:val="32"/>
        </w:rPr>
        <w:t>加快构建绿色出行体系</w:t>
      </w:r>
      <w:r>
        <w:rPr>
          <w:sz w:val="32"/>
        </w:rPr>
        <w:t>。因地制宜构建以城市轨道交通</w:t>
      </w:r>
      <w:r>
        <w:rPr>
          <w:sz w:val="32"/>
          <w:szCs w:val="32"/>
        </w:rPr>
        <w:t>和快速公交</w:t>
      </w:r>
      <w:r>
        <w:rPr>
          <w:sz w:val="32"/>
        </w:rPr>
        <w:t>为骨干</w:t>
      </w:r>
      <w:r>
        <w:rPr>
          <w:sz w:val="32"/>
          <w:szCs w:val="32"/>
        </w:rPr>
        <w:t>、常规公交为主体</w:t>
      </w:r>
      <w:r>
        <w:rPr>
          <w:sz w:val="32"/>
        </w:rPr>
        <w:t>的</w:t>
      </w:r>
      <w:r>
        <w:rPr>
          <w:sz w:val="32"/>
          <w:szCs w:val="32"/>
        </w:rPr>
        <w:t>公共交通</w:t>
      </w:r>
      <w:r>
        <w:rPr>
          <w:sz w:val="32"/>
        </w:rPr>
        <w:t>出行体系，</w:t>
      </w:r>
      <w:r>
        <w:rPr>
          <w:sz w:val="32"/>
          <w:szCs w:val="32"/>
        </w:rPr>
        <w:t>强化“</w:t>
      </w:r>
      <w:r>
        <w:rPr>
          <w:sz w:val="32"/>
        </w:rPr>
        <w:t>轨道</w:t>
      </w:r>
      <w:r>
        <w:rPr>
          <w:sz w:val="32"/>
          <w:szCs w:val="32"/>
        </w:rPr>
        <w:t>+</w:t>
      </w:r>
      <w:r>
        <w:rPr>
          <w:sz w:val="32"/>
        </w:rPr>
        <w:t>公交</w:t>
      </w:r>
      <w:r>
        <w:rPr>
          <w:sz w:val="32"/>
          <w:szCs w:val="32"/>
        </w:rPr>
        <w:t>+慢行”网络</w:t>
      </w:r>
      <w:r>
        <w:rPr>
          <w:sz w:val="32"/>
        </w:rPr>
        <w:t>融合发展</w:t>
      </w:r>
      <w:r>
        <w:rPr>
          <w:sz w:val="32"/>
          <w:szCs w:val="32"/>
        </w:rPr>
        <w:t>。深化国家公交都市建设</w:t>
      </w:r>
      <w:r>
        <w:rPr>
          <w:sz w:val="32"/>
          <w:szCs w:val="36"/>
        </w:rPr>
        <w:t>，提升城市轨道交通服务水平，持续</w:t>
      </w:r>
      <w:r>
        <w:rPr>
          <w:sz w:val="32"/>
          <w:szCs w:val="32"/>
        </w:rPr>
        <w:t>改善公共交通</w:t>
      </w:r>
      <w:r>
        <w:rPr>
          <w:sz w:val="32"/>
        </w:rPr>
        <w:t>出行</w:t>
      </w:r>
      <w:r>
        <w:rPr>
          <w:sz w:val="32"/>
          <w:szCs w:val="32"/>
        </w:rPr>
        <w:t>体验。开展</w:t>
      </w:r>
      <w:r>
        <w:rPr>
          <w:sz w:val="32"/>
          <w:szCs w:val="36"/>
        </w:rPr>
        <w:t>绿色出行创建行动，</w:t>
      </w:r>
      <w:r>
        <w:rPr>
          <w:sz w:val="32"/>
          <w:szCs w:val="32"/>
        </w:rPr>
        <w:t>改善绿色出行环境，提高城市绿色出行比例。完善城市慢行交通系统，提升城市步行和非机动车的出行品质，构建安全、连续和舒适的城市慢行交通体系</w:t>
      </w:r>
      <w:r>
        <w:rPr>
          <w:sz w:val="32"/>
        </w:rPr>
        <w:t>。</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jc w:val="center"/>
        </w:trPr>
        <w:tc>
          <w:tcPr>
            <w:tcW w:w="8522" w:type="dxa"/>
            <w:noWrap w:val="0"/>
            <w:vAlign w:val="top"/>
          </w:tcPr>
          <w:p>
            <w:pPr>
              <w:spacing w:line="580" w:lineRule="exact"/>
              <w:jc w:val="center"/>
            </w:pPr>
            <w:r>
              <w:rPr>
                <w:rFonts w:eastAsia="黑体"/>
              </w:rPr>
              <w:t>专栏三  绿色出行创建行动</w:t>
            </w:r>
          </w:p>
          <w:p>
            <w:pPr>
              <w:spacing w:line="580" w:lineRule="exact"/>
              <w:ind w:firstLine="600"/>
              <w:rPr>
                <w:sz w:val="32"/>
              </w:rPr>
            </w:pPr>
            <w:r>
              <w:t>以直辖市、省会城市、计划单列市、现有</w:t>
            </w:r>
            <w:r>
              <w:rPr>
                <w:rFonts w:hint="eastAsia"/>
              </w:rPr>
              <w:t>国家</w:t>
            </w:r>
            <w:r>
              <w:t>公交都市创建城市以及其他城区</w:t>
            </w:r>
            <w:r>
              <w:rPr>
                <w:rFonts w:hint="eastAsia"/>
              </w:rPr>
              <w:t>常住</w:t>
            </w:r>
            <w:r>
              <w:t>人口100万人以上的城市作为主要创建对象，鼓励周边中小城</w:t>
            </w:r>
            <w:r>
              <w:rPr>
                <w:rFonts w:hint="eastAsia"/>
              </w:rPr>
              <w:t>市</w:t>
            </w:r>
            <w:r>
              <w:t>参与绿色出行创建行动。重点创建100个左右绿色出行城市，引导公众出行优先选择公共交通、步行和自行车等绿色出行方式，不断提高城市绿色出行水平。到2025年，力争60%以上的创建城市绿色出行比例达到70%。</w:t>
            </w:r>
          </w:p>
        </w:tc>
      </w:tr>
    </w:tbl>
    <w:p>
      <w:pPr>
        <w:pStyle w:val="3"/>
        <w:spacing w:before="156" w:beforeLines="50" w:line="580" w:lineRule="exact"/>
        <w:ind w:firstLine="643"/>
        <w:rPr>
          <w:rFonts w:ascii="Times New Roman" w:hAnsi="Times New Roman"/>
        </w:rPr>
      </w:pPr>
      <w:bookmarkStart w:id="133" w:name="_Toc704793875"/>
      <w:bookmarkStart w:id="134" w:name="_Toc58280696"/>
      <w:bookmarkStart w:id="135" w:name="_Toc2108781247"/>
      <w:bookmarkStart w:id="136" w:name="_Toc56103156"/>
      <w:bookmarkStart w:id="137" w:name="_Toc16485187"/>
      <w:bookmarkStart w:id="138" w:name="_Toc73866718"/>
      <w:bookmarkStart w:id="139" w:name="_Toc1982095952"/>
      <w:bookmarkStart w:id="140" w:name="_Toc18345"/>
      <w:bookmarkStart w:id="141" w:name="_Toc1775110163"/>
      <w:bookmarkStart w:id="142" w:name="_Toc1078594010"/>
      <w:bookmarkStart w:id="143" w:name="_Toc1865621053"/>
      <w:r>
        <w:rPr>
          <w:rFonts w:ascii="Times New Roman" w:hAnsi="Times New Roman"/>
        </w:rPr>
        <w:t>（三）推广应用新能源，构建低碳交通运输体系。</w:t>
      </w:r>
      <w:bookmarkEnd w:id="133"/>
      <w:bookmarkEnd w:id="134"/>
      <w:bookmarkEnd w:id="135"/>
      <w:bookmarkEnd w:id="136"/>
      <w:bookmarkEnd w:id="137"/>
      <w:bookmarkEnd w:id="138"/>
      <w:bookmarkEnd w:id="139"/>
      <w:bookmarkEnd w:id="140"/>
      <w:bookmarkEnd w:id="141"/>
      <w:bookmarkEnd w:id="142"/>
      <w:bookmarkEnd w:id="143"/>
    </w:p>
    <w:p>
      <w:pPr>
        <w:spacing w:line="580" w:lineRule="exact"/>
        <w:ind w:firstLine="643" w:firstLineChars="200"/>
        <w:rPr>
          <w:sz w:val="32"/>
        </w:rPr>
      </w:pPr>
      <w:r>
        <w:rPr>
          <w:b/>
          <w:bCs/>
          <w:sz w:val="32"/>
        </w:rPr>
        <w:t>加快新能源和清洁能源</w:t>
      </w:r>
      <w:r>
        <w:rPr>
          <w:b/>
          <w:bCs/>
          <w:sz w:val="32"/>
          <w:szCs w:val="32"/>
        </w:rPr>
        <w:t>运输装备</w:t>
      </w:r>
      <w:r>
        <w:rPr>
          <w:b/>
          <w:bCs/>
          <w:sz w:val="32"/>
        </w:rPr>
        <w:t>推广应用</w:t>
      </w:r>
      <w:r>
        <w:rPr>
          <w:sz w:val="32"/>
        </w:rPr>
        <w:t>。加快推进城市公交、出租、物流配送等领域新能源汽车推广应用，国家生态文明试验区、大气污染防治重点区域新增或更新的公交、出租、物流配送等车辆中新能源汽车比例不低于80%。鼓励开展氢燃料电池汽车试点应用。推进新增和更换港口作业机械、港内车辆和拖轮、货运场站作业车辆等优先使用新能源和清洁能源。推动公路服务区、客运枢纽等区域充（换）电设施建设，为绿色运输和绿色出行提供便利。因地制宜推进公路沿线、服务区等适宜区域合理布局光伏发电设施。深入推进内河LNG动力船舶推广应用，支持沿海及远洋LNG动力船舶发展，</w:t>
      </w:r>
      <w:r>
        <w:rPr>
          <w:sz w:val="32"/>
          <w:szCs w:val="32"/>
        </w:rPr>
        <w:t>指导</w:t>
      </w:r>
      <w:r>
        <w:rPr>
          <w:sz w:val="32"/>
        </w:rPr>
        <w:t>落实长江干线、西江航运干线、京杭运河LNG加注码头布局方案，推动加快内河船舶LNG加注站建设</w:t>
      </w:r>
      <w:r>
        <w:rPr>
          <w:sz w:val="32"/>
          <w:szCs w:val="32"/>
        </w:rPr>
        <w:t>，</w:t>
      </w:r>
      <w:r>
        <w:rPr>
          <w:sz w:val="32"/>
        </w:rPr>
        <w:t>推动沿海船舶LNG加注设施建设。因地制宜推动纯电动旅游客船应用。积极探索油电混合、氢燃料、氨燃料、甲醇动力船舶应用。</w:t>
      </w:r>
    </w:p>
    <w:p>
      <w:pPr>
        <w:spacing w:line="580" w:lineRule="exact"/>
        <w:ind w:firstLine="643" w:firstLineChars="200"/>
        <w:rPr>
          <w:kern w:val="0"/>
          <w:sz w:val="32"/>
        </w:rPr>
      </w:pPr>
      <w:r>
        <w:rPr>
          <w:b/>
          <w:bCs/>
          <w:sz w:val="32"/>
        </w:rPr>
        <w:t>促进岸电设施常态化使用</w:t>
      </w:r>
      <w:r>
        <w:rPr>
          <w:sz w:val="32"/>
        </w:rPr>
        <w:t>。加快现有营运船舶受电设施改造，</w:t>
      </w:r>
      <w:r>
        <w:rPr>
          <w:kern w:val="0"/>
          <w:sz w:val="32"/>
        </w:rPr>
        <w:t>不断提高受电设施安装比例。有序推进现有码头岸电设施改造，主要港口的五类专业化泊位，以及长江干线、西江航运干线2000吨级以上码头（油气化工码头除外）岸电覆盖率进一步提高。加强低压岸电接插件国家标准宣贯和实施，</w:t>
      </w:r>
      <w:r>
        <w:rPr>
          <w:sz w:val="32"/>
          <w:szCs w:val="32"/>
        </w:rPr>
        <w:t>出台《港口岸电设施运行维护技术规范》，加强</w:t>
      </w:r>
      <w:r>
        <w:rPr>
          <w:sz w:val="32"/>
        </w:rPr>
        <w:t>岸电设施</w:t>
      </w:r>
      <w:r>
        <w:rPr>
          <w:sz w:val="32"/>
          <w:szCs w:val="32"/>
        </w:rPr>
        <w:t>检测与运营维护</w:t>
      </w:r>
      <w:r>
        <w:rPr>
          <w:sz w:val="32"/>
        </w:rPr>
        <w:t>。</w:t>
      </w:r>
      <w:r>
        <w:rPr>
          <w:kern w:val="0"/>
          <w:sz w:val="32"/>
        </w:rPr>
        <w:t>严格落实《</w:t>
      </w:r>
      <w:r>
        <w:rPr>
          <w:rFonts w:hint="eastAsia"/>
          <w:kern w:val="0"/>
          <w:sz w:val="32"/>
        </w:rPr>
        <w:t>中华人民共和国</w:t>
      </w:r>
      <w:r>
        <w:rPr>
          <w:kern w:val="0"/>
          <w:sz w:val="32"/>
        </w:rPr>
        <w:t>长江保护法》，修订《港口和船舶岸电管理办法》，</w:t>
      </w:r>
      <w:r>
        <w:rPr>
          <w:kern w:val="0"/>
          <w:sz w:val="32"/>
          <w:szCs w:val="36"/>
        </w:rPr>
        <w:t>加强岸电使用监管，</w:t>
      </w:r>
      <w:r>
        <w:rPr>
          <w:kern w:val="0"/>
          <w:sz w:val="32"/>
        </w:rPr>
        <w:t>确保已具备受电设施的船舶在具备岸电供电能力的泊位靠泊时按规定使用岸电。</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noWrap w:val="0"/>
            <w:vAlign w:val="top"/>
          </w:tcPr>
          <w:p>
            <w:pPr>
              <w:spacing w:line="600" w:lineRule="exact"/>
              <w:jc w:val="center"/>
              <w:rPr>
                <w:szCs w:val="30"/>
              </w:rPr>
            </w:pPr>
            <w:r>
              <w:rPr>
                <w:rFonts w:eastAsia="黑体"/>
                <w:szCs w:val="30"/>
              </w:rPr>
              <w:t>专栏四  新能源推广应用行动</w:t>
            </w:r>
          </w:p>
          <w:p>
            <w:pPr>
              <w:spacing w:line="560" w:lineRule="exact"/>
              <w:ind w:firstLine="612"/>
              <w:rPr>
                <w:szCs w:val="30"/>
              </w:rPr>
            </w:pPr>
            <w:r>
              <w:rPr>
                <w:b/>
                <w:bCs/>
                <w:szCs w:val="30"/>
              </w:rPr>
              <w:t>电动货车和氢燃料电池车辆推广行动</w:t>
            </w:r>
            <w:r>
              <w:rPr>
                <w:szCs w:val="30"/>
              </w:rPr>
              <w:t>。在北京、天津、石家庄等城市推进中心城区应用纯电动物流配送车辆，在钢铁、煤炭等工矿企业场内短途运输推广应用纯电动重卡。在张家口等城市推进城际客运、重型货车、冷链物流车等开展氢燃料电池汽车试点应用。</w:t>
            </w:r>
          </w:p>
          <w:p>
            <w:pPr>
              <w:spacing w:line="560" w:lineRule="exact"/>
              <w:ind w:firstLine="612"/>
            </w:pPr>
            <w:r>
              <w:rPr>
                <w:b/>
              </w:rPr>
              <w:t>城市绿色货运配送示范工程</w:t>
            </w:r>
            <w:r>
              <w:t>。深入开展城市绿色货运配送示范工程创建工作，到2025年，有序建设100个左右城市绿色货运配送示范工程。</w:t>
            </w:r>
          </w:p>
          <w:p>
            <w:pPr>
              <w:spacing w:line="560" w:lineRule="exact"/>
              <w:ind w:firstLine="612"/>
              <w:rPr>
                <w:kern w:val="0"/>
                <w:szCs w:val="30"/>
              </w:rPr>
            </w:pPr>
            <w:r>
              <w:rPr>
                <w:b/>
                <w:bCs/>
                <w:szCs w:val="30"/>
              </w:rPr>
              <w:t>岸电推广应用行动</w:t>
            </w:r>
            <w:r>
              <w:rPr>
                <w:szCs w:val="30"/>
              </w:rPr>
              <w:t>。</w:t>
            </w:r>
            <w:r>
              <w:rPr>
                <w:kern w:val="0"/>
                <w:szCs w:val="30"/>
              </w:rPr>
              <w:t>深入推进重点区域（长江经济带、西江航运干线、环渤海）、重点省市（上海、深圳、海南、天津等）、重点航线（琼州海峡和渤海湾省际客运）岸电建设与使用，着力提高岸电设施使用率。</w:t>
            </w:r>
          </w:p>
          <w:p>
            <w:pPr>
              <w:spacing w:line="560" w:lineRule="exact"/>
              <w:ind w:firstLine="612"/>
              <w:rPr>
                <w:sz w:val="32"/>
                <w:szCs w:val="32"/>
              </w:rPr>
            </w:pPr>
            <w:r>
              <w:rPr>
                <w:b/>
                <w:bCs/>
                <w:szCs w:val="30"/>
              </w:rPr>
              <w:t>近</w:t>
            </w:r>
            <w:r>
              <w:rPr>
                <w:b/>
              </w:rPr>
              <w:t>零碳枢纽场站建设行动</w:t>
            </w:r>
            <w:r>
              <w:t>。以重要港区、货运场站为主，推进内部作业机械、供暖制冷设施设备等加快应用新能源和可再生能源，实现近零碳排放，创建近零碳码头、近零碳货运场站。</w:t>
            </w:r>
          </w:p>
        </w:tc>
      </w:tr>
    </w:tbl>
    <w:p>
      <w:pPr>
        <w:pStyle w:val="3"/>
        <w:spacing w:before="156" w:beforeLines="50" w:line="580" w:lineRule="exact"/>
        <w:ind w:firstLine="643"/>
        <w:rPr>
          <w:rFonts w:ascii="Times New Roman" w:hAnsi="Times New Roman"/>
        </w:rPr>
      </w:pPr>
      <w:bookmarkStart w:id="144" w:name="_Toc25726869"/>
      <w:bookmarkStart w:id="145" w:name="_Toc56103157"/>
      <w:bookmarkStart w:id="146" w:name="_Toc926354353"/>
      <w:bookmarkStart w:id="147" w:name="_Toc1538441740"/>
      <w:bookmarkStart w:id="148" w:name="_Toc1734323765"/>
      <w:bookmarkStart w:id="149" w:name="_Toc1498516527"/>
      <w:bookmarkStart w:id="150" w:name="_Toc58280697"/>
      <w:bookmarkStart w:id="151" w:name="_Toc21857"/>
      <w:bookmarkStart w:id="152" w:name="_Toc73866719"/>
      <w:bookmarkStart w:id="153" w:name="_Toc365996362"/>
      <w:bookmarkStart w:id="154" w:name="_Toc1248700319"/>
      <w:r>
        <w:rPr>
          <w:rFonts w:ascii="Times New Roman" w:hAnsi="Times New Roman"/>
        </w:rPr>
        <w:t>（四）坚持标本兼治，推进交通污染深度治理。</w:t>
      </w:r>
      <w:bookmarkEnd w:id="144"/>
      <w:bookmarkEnd w:id="145"/>
      <w:bookmarkEnd w:id="146"/>
      <w:bookmarkEnd w:id="147"/>
      <w:bookmarkEnd w:id="148"/>
      <w:bookmarkEnd w:id="149"/>
      <w:bookmarkEnd w:id="150"/>
      <w:bookmarkEnd w:id="151"/>
      <w:bookmarkEnd w:id="152"/>
      <w:bookmarkEnd w:id="153"/>
      <w:bookmarkEnd w:id="154"/>
    </w:p>
    <w:p>
      <w:pPr>
        <w:spacing w:line="580" w:lineRule="exact"/>
        <w:ind w:firstLine="643" w:firstLineChars="200"/>
        <w:rPr>
          <w:sz w:val="32"/>
        </w:rPr>
      </w:pPr>
      <w:r>
        <w:rPr>
          <w:b/>
          <w:bCs/>
          <w:sz w:val="32"/>
        </w:rPr>
        <w:t>持续加强船舶污染防治</w:t>
      </w:r>
      <w:r>
        <w:rPr>
          <w:sz w:val="32"/>
        </w:rPr>
        <w:t>。严格落实船舶大气污染物排放控制区各项要求，会同相关部门保障船用低硫燃油供应，降低船舶硫氧化物、氮氧化物、颗粒物和挥发性有机物等排放，适时评估排放控制区实施效果。推进船舶大气污染物监测监管试验区建设，加强船舶污染设施设备配备及使用情况监督检查。持续推进港口船舶水污染物接收设施有效运行，并确保与城市公共转运处置设施顺畅衔接，</w:t>
      </w:r>
      <w:r>
        <w:rPr>
          <w:kern w:val="0"/>
          <w:sz w:val="32"/>
        </w:rPr>
        <w:t>积极推进船舶污染物电子联单管理，提高船舶水污染物联合监管信息化水平。严格执行长江经济带内河港口船舶生活垃圾免费接收</w:t>
      </w:r>
      <w:r>
        <w:rPr>
          <w:sz w:val="32"/>
        </w:rPr>
        <w:t>政策。</w:t>
      </w:r>
      <w:r>
        <w:rPr>
          <w:kern w:val="0"/>
          <w:sz w:val="32"/>
        </w:rPr>
        <w:t>分级分类分区开展400总吨以下内河船舶的防污染设施改造和加装</w:t>
      </w:r>
      <w:r>
        <w:rPr>
          <w:sz w:val="32"/>
        </w:rPr>
        <w:t>。严格执行船舶强制报废制度，鼓励提前淘汰高污染、高耗能老旧运输船舶。</w:t>
      </w:r>
    </w:p>
    <w:p>
      <w:pPr>
        <w:spacing w:line="580" w:lineRule="exact"/>
        <w:ind w:firstLine="643" w:firstLineChars="200"/>
        <w:rPr>
          <w:sz w:val="32"/>
        </w:rPr>
      </w:pPr>
      <w:r>
        <w:rPr>
          <w:b/>
          <w:bCs/>
          <w:sz w:val="32"/>
        </w:rPr>
        <w:t>进一步提升港口污染治理水平</w:t>
      </w:r>
      <w:r>
        <w:rPr>
          <w:sz w:val="32"/>
        </w:rPr>
        <w:t>。统筹加强既有码头自身环保设施维护管理和新建码头环保设施建设使用，确保稳定运行，推进水资源循环利用。加快推进干散货码头堆场防风抑尘设施建设和设备配置。有序推进原油、成品油码头和船舶油气回收设施建设、改造及使用，完善操作管理规定和配套标准规范。提升水上化学品洗舱站运行效果，鼓励西江航运干线布局建设水上洗舱站，提高化学品洗舱水处置能力。</w:t>
      </w:r>
    </w:p>
    <w:p>
      <w:pPr>
        <w:spacing w:line="580" w:lineRule="exact"/>
        <w:ind w:firstLine="643" w:firstLineChars="200"/>
        <w:rPr>
          <w:sz w:val="32"/>
        </w:rPr>
      </w:pPr>
      <w:r>
        <w:rPr>
          <w:b/>
          <w:bCs/>
          <w:sz w:val="32"/>
        </w:rPr>
        <w:t>深入推进在用车辆污染治理</w:t>
      </w:r>
      <w:r>
        <w:rPr>
          <w:sz w:val="32"/>
        </w:rPr>
        <w:t>。推动全面实施汽车排放检验与维护制度（I/M制度），加快建立超标排放汽车闭环管理联防联控机制，强化在用汽车排放检验与维修治理。研究完善道路运输车辆燃料消耗量限值准入制度。规范维修作业废气、废液、固废和危险废物存储管理，推广先进维修工艺和设备，推进汽车绿色维修。</w:t>
      </w:r>
    </w:p>
    <w:p>
      <w:pPr>
        <w:pStyle w:val="3"/>
        <w:spacing w:line="580" w:lineRule="exact"/>
        <w:ind w:firstLine="643"/>
        <w:rPr>
          <w:rFonts w:ascii="Times New Roman" w:hAnsi="Times New Roman"/>
        </w:rPr>
      </w:pPr>
      <w:bookmarkStart w:id="155" w:name="_Toc1659796999"/>
      <w:bookmarkStart w:id="156" w:name="_Toc23822"/>
      <w:bookmarkStart w:id="157" w:name="_Toc356001025"/>
      <w:bookmarkStart w:id="158" w:name="_Toc58280698"/>
      <w:bookmarkStart w:id="159" w:name="_Toc73866720"/>
      <w:bookmarkStart w:id="160" w:name="_Toc1700382488"/>
      <w:bookmarkStart w:id="161" w:name="_Toc1074089311"/>
      <w:bookmarkStart w:id="162" w:name="_Toc2050843938"/>
      <w:bookmarkStart w:id="163" w:name="_Toc1270166491"/>
      <w:bookmarkStart w:id="164" w:name="_Toc2124660144"/>
      <w:bookmarkStart w:id="165" w:name="_Toc56103158"/>
      <w:r>
        <w:rPr>
          <w:rFonts w:ascii="Times New Roman" w:hAnsi="Times New Roman"/>
        </w:rPr>
        <w:t>（五）坚持创新驱动，强化绿色交通科技支撑。</w:t>
      </w:r>
      <w:bookmarkEnd w:id="155"/>
      <w:bookmarkEnd w:id="156"/>
      <w:bookmarkEnd w:id="157"/>
      <w:bookmarkEnd w:id="158"/>
      <w:bookmarkEnd w:id="159"/>
      <w:bookmarkEnd w:id="160"/>
      <w:bookmarkEnd w:id="161"/>
      <w:bookmarkEnd w:id="162"/>
      <w:bookmarkEnd w:id="163"/>
      <w:bookmarkEnd w:id="164"/>
      <w:bookmarkEnd w:id="165"/>
    </w:p>
    <w:p>
      <w:pPr>
        <w:spacing w:line="580" w:lineRule="exact"/>
        <w:ind w:firstLine="643" w:firstLineChars="200"/>
        <w:rPr>
          <w:sz w:val="32"/>
        </w:rPr>
      </w:pPr>
      <w:r>
        <w:rPr>
          <w:b/>
          <w:bCs/>
          <w:sz w:val="32"/>
        </w:rPr>
        <w:t>推进绿色交通科技创新</w:t>
      </w:r>
      <w:r>
        <w:rPr>
          <w:sz w:val="32"/>
        </w:rPr>
        <w:t>。构建市场导向的绿色技术创新体系，支持新能源运输装备和设施设备、氢燃料动力车辆及船舶、LNG和生物质燃料船舶等应用研究；加快新能源汽车</w:t>
      </w:r>
      <w:r>
        <w:rPr>
          <w:sz w:val="32"/>
          <w:szCs w:val="32"/>
        </w:rPr>
        <w:t>性能监控与保障技术、</w:t>
      </w:r>
      <w:r>
        <w:rPr>
          <w:sz w:val="32"/>
        </w:rPr>
        <w:t>交通</w:t>
      </w:r>
      <w:r>
        <w:rPr>
          <w:sz w:val="32"/>
          <w:szCs w:val="32"/>
        </w:rPr>
        <w:t>能源互联网技术、</w:t>
      </w:r>
      <w:r>
        <w:rPr>
          <w:sz w:val="32"/>
        </w:rPr>
        <w:t>基础设施</w:t>
      </w:r>
      <w:r>
        <w:rPr>
          <w:sz w:val="32"/>
          <w:szCs w:val="32"/>
        </w:rPr>
        <w:t>分布式光伏发电设备及并网技术</w:t>
      </w:r>
      <w:r>
        <w:rPr>
          <w:sz w:val="32"/>
        </w:rPr>
        <w:t>研究。深化交通污染综合防治等关键技术研究，重点推进船舶大气污染和碳排放协同</w:t>
      </w:r>
      <w:r>
        <w:rPr>
          <w:sz w:val="32"/>
          <w:szCs w:val="32"/>
        </w:rPr>
        <w:t>治理</w:t>
      </w:r>
      <w:r>
        <w:rPr>
          <w:sz w:val="32"/>
        </w:rPr>
        <w:t>、港口与船舶水污染深度治理、</w:t>
      </w:r>
      <w:r>
        <w:rPr>
          <w:sz w:val="32"/>
          <w:szCs w:val="32"/>
        </w:rPr>
        <w:t>交通能耗与污染排放监测监管</w:t>
      </w:r>
      <w:r>
        <w:rPr>
          <w:sz w:val="32"/>
        </w:rPr>
        <w:t>等新技术、新工艺和新装备研发。</w:t>
      </w:r>
      <w:r>
        <w:rPr>
          <w:sz w:val="32"/>
          <w:szCs w:val="32"/>
        </w:rPr>
        <w:t>推进交通廊道与基础设施生态优化、路域生态连通与生态重建、绿色建筑材料和技术等领域研究</w:t>
      </w:r>
      <w:r>
        <w:rPr>
          <w:sz w:val="32"/>
        </w:rPr>
        <w:t>。推进绿色交通与智能交通融合发展。推进交通运输行业重点实验室等建设，积极培育国家级绿色交通科研平台。</w:t>
      </w:r>
      <w:r>
        <w:rPr>
          <w:sz w:val="32"/>
          <w:szCs w:val="32"/>
        </w:rPr>
        <w:t>鼓励行业各类绿色交通创新主体建立创新联盟，建立绿色交通关键核心技术攻关机制</w:t>
      </w:r>
      <w:r>
        <w:rPr>
          <w:sz w:val="32"/>
        </w:rPr>
        <w:t>。</w:t>
      </w:r>
    </w:p>
    <w:p>
      <w:pPr>
        <w:spacing w:line="580" w:lineRule="exact"/>
        <w:ind w:firstLine="643" w:firstLineChars="200"/>
        <w:rPr>
          <w:sz w:val="32"/>
        </w:rPr>
      </w:pPr>
      <w:r>
        <w:rPr>
          <w:b/>
          <w:bCs/>
          <w:sz w:val="32"/>
          <w:szCs w:val="32"/>
        </w:rPr>
        <w:t>加快节能环保关键</w:t>
      </w:r>
      <w:r>
        <w:rPr>
          <w:b/>
          <w:bCs/>
          <w:sz w:val="32"/>
        </w:rPr>
        <w:t>技术</w:t>
      </w:r>
      <w:r>
        <w:rPr>
          <w:b/>
          <w:bCs/>
          <w:sz w:val="32"/>
          <w:szCs w:val="32"/>
        </w:rPr>
        <w:t>推广应用</w:t>
      </w:r>
      <w:r>
        <w:rPr>
          <w:sz w:val="32"/>
          <w:szCs w:val="32"/>
        </w:rPr>
        <w:t>。加大已发布的交通运输行业重点节能低碳技术推广应用力度，持续制定发布交通运输行业重点节能低碳技术目录，重点遴选一批减排潜力大、适用范围广的节能低碳技术</w:t>
      </w:r>
      <w:r>
        <w:rPr>
          <w:bCs/>
          <w:sz w:val="32"/>
          <w:szCs w:val="32"/>
        </w:rPr>
        <w:t>，</w:t>
      </w:r>
      <w:r>
        <w:rPr>
          <w:sz w:val="32"/>
        </w:rPr>
        <w:t>强化技术宣传、交流、培训和推广应用。依托交通运输科技示范工程强化节能环保技术集成应用示范与成果转化。</w:t>
      </w:r>
    </w:p>
    <w:p>
      <w:pPr>
        <w:spacing w:line="580" w:lineRule="exact"/>
        <w:ind w:firstLine="643" w:firstLineChars="200"/>
        <w:rPr>
          <w:sz w:val="32"/>
          <w:szCs w:val="32"/>
        </w:rPr>
      </w:pPr>
      <w:bookmarkStart w:id="166" w:name="_Toc56103159"/>
      <w:bookmarkStart w:id="167" w:name="_Toc58280699"/>
      <w:bookmarkStart w:id="168" w:name="_Hlk41508204"/>
      <w:r>
        <w:rPr>
          <w:b/>
          <w:bCs/>
          <w:sz w:val="32"/>
        </w:rPr>
        <w:t>健全绿色交通标准规范体系</w:t>
      </w:r>
      <w:r>
        <w:rPr>
          <w:sz w:val="32"/>
        </w:rPr>
        <w:t>。修订绿色交通标准体系，加强新技术、新设备、新材料、新工艺等方面标准的有效供给。</w:t>
      </w:r>
      <w:r>
        <w:rPr>
          <w:sz w:val="32"/>
          <w:szCs w:val="32"/>
        </w:rPr>
        <w:t>在资源节约利用方面，制修订新能源车辆蓄电池、沥青路面材料和建筑垃圾循环利用等标准；在节能降碳方面，制修订营运车船和港口机械装备能耗限值准入、新能源和燃料电池营运车辆技术要求、城市轨道交通绿色运营等标准；在污染防治方面，配合制修订港口、营运车船、服务区、汽车维修等设施设备污水、废气排放限值等标准；在生态保护方面，制修订公路、港口及航道等设施的生态保护等标准。</w:t>
      </w:r>
    </w:p>
    <w:p>
      <w:pPr>
        <w:pStyle w:val="3"/>
        <w:spacing w:line="580" w:lineRule="exact"/>
        <w:ind w:firstLine="643"/>
        <w:rPr>
          <w:rFonts w:ascii="Times New Roman" w:hAnsi="Times New Roman"/>
        </w:rPr>
      </w:pPr>
      <w:bookmarkStart w:id="169" w:name="_Toc762250990"/>
      <w:bookmarkStart w:id="170" w:name="_Toc385783007"/>
      <w:bookmarkStart w:id="171" w:name="_Toc1154877613"/>
      <w:bookmarkStart w:id="172" w:name="_Toc876561930"/>
      <w:bookmarkStart w:id="173" w:name="_Toc2015652183"/>
      <w:bookmarkStart w:id="174" w:name="_Toc4279"/>
      <w:bookmarkStart w:id="175" w:name="_Toc569331068"/>
      <w:bookmarkStart w:id="176" w:name="_Toc73866721"/>
      <w:bookmarkStart w:id="177" w:name="_Toc369962811"/>
      <w:r>
        <w:rPr>
          <w:rFonts w:ascii="Times New Roman" w:hAnsi="Times New Roman"/>
        </w:rPr>
        <w:t>（六）健全推进机制，完善绿色交通监管体系。</w:t>
      </w:r>
      <w:bookmarkEnd w:id="166"/>
      <w:bookmarkEnd w:id="167"/>
      <w:bookmarkEnd w:id="169"/>
      <w:bookmarkEnd w:id="170"/>
      <w:bookmarkEnd w:id="171"/>
      <w:bookmarkEnd w:id="172"/>
      <w:bookmarkEnd w:id="173"/>
      <w:bookmarkEnd w:id="174"/>
      <w:bookmarkEnd w:id="175"/>
      <w:bookmarkEnd w:id="176"/>
      <w:bookmarkEnd w:id="177"/>
    </w:p>
    <w:p>
      <w:pPr>
        <w:spacing w:line="580" w:lineRule="exact"/>
        <w:ind w:firstLine="643" w:firstLineChars="200"/>
        <w:rPr>
          <w:kern w:val="0"/>
          <w:sz w:val="32"/>
          <w:szCs w:val="36"/>
        </w:rPr>
      </w:pPr>
      <w:r>
        <w:rPr>
          <w:b/>
          <w:bCs/>
          <w:sz w:val="32"/>
        </w:rPr>
        <w:t>完善绿色发展推进机制</w:t>
      </w:r>
      <w:r>
        <w:rPr>
          <w:sz w:val="32"/>
        </w:rPr>
        <w:t>。</w:t>
      </w:r>
      <w:r>
        <w:rPr>
          <w:rFonts w:hint="eastAsia"/>
          <w:sz w:val="32"/>
        </w:rPr>
        <w:t>健全完善交通运输部碳达峰碳中和工作组织领导体系</w:t>
      </w:r>
      <w:r>
        <w:rPr>
          <w:sz w:val="32"/>
        </w:rPr>
        <w:t>，</w:t>
      </w:r>
      <w:r>
        <w:rPr>
          <w:kern w:val="0"/>
          <w:sz w:val="32"/>
          <w:szCs w:val="36"/>
        </w:rPr>
        <w:t>强化部门协同联动</w:t>
      </w:r>
      <w:r>
        <w:rPr>
          <w:rFonts w:hint="eastAsia"/>
          <w:sz w:val="32"/>
        </w:rPr>
        <w:t>。</w:t>
      </w:r>
      <w:r>
        <w:rPr>
          <w:kern w:val="0"/>
          <w:sz w:val="32"/>
          <w:szCs w:val="36"/>
        </w:rPr>
        <w:t>制定交通运输</w:t>
      </w:r>
      <w:r>
        <w:rPr>
          <w:rFonts w:hint="eastAsia"/>
          <w:kern w:val="0"/>
          <w:sz w:val="32"/>
          <w:szCs w:val="36"/>
        </w:rPr>
        <w:t>绿色</w:t>
      </w:r>
      <w:r>
        <w:rPr>
          <w:kern w:val="0"/>
          <w:sz w:val="32"/>
          <w:szCs w:val="36"/>
        </w:rPr>
        <w:t>低碳发展行动</w:t>
      </w:r>
      <w:r>
        <w:rPr>
          <w:rFonts w:hint="eastAsia"/>
          <w:kern w:val="0"/>
          <w:sz w:val="32"/>
          <w:szCs w:val="36"/>
        </w:rPr>
        <w:t>方案</w:t>
      </w:r>
      <w:r>
        <w:rPr>
          <w:kern w:val="0"/>
          <w:sz w:val="32"/>
          <w:szCs w:val="36"/>
        </w:rPr>
        <w:t>等政策文件。统筹开展交通运输领域碳减排和碳达峰路径、重大政策与关键技术研究。探索碳积分、合同能源管理、碳排放核查等市场机制在行业的应用。</w:t>
      </w:r>
    </w:p>
    <w:p>
      <w:pPr>
        <w:spacing w:line="580" w:lineRule="exact"/>
        <w:ind w:firstLine="643" w:firstLineChars="200"/>
        <w:rPr>
          <w:sz w:val="32"/>
        </w:rPr>
      </w:pPr>
      <w:r>
        <w:rPr>
          <w:b/>
          <w:bCs/>
          <w:sz w:val="32"/>
        </w:rPr>
        <w:t>强化绿色交通评估和监管</w:t>
      </w:r>
      <w:r>
        <w:rPr>
          <w:sz w:val="32"/>
        </w:rPr>
        <w:t>。完善绿色交通统计体系，推进公路、水运、城市客运等能耗、碳排放及</w:t>
      </w:r>
      <w:r>
        <w:rPr>
          <w:sz w:val="32"/>
          <w:szCs w:val="32"/>
        </w:rPr>
        <w:t>污染物</w:t>
      </w:r>
      <w:r>
        <w:rPr>
          <w:sz w:val="32"/>
        </w:rPr>
        <w:t>排放数据采集。鼓励统筹既有监测能力，利用在线监测系统</w:t>
      </w:r>
      <w:r>
        <w:rPr>
          <w:sz w:val="32"/>
          <w:szCs w:val="32"/>
        </w:rPr>
        <w:t>及大数据技术，建设</w:t>
      </w:r>
      <w:r>
        <w:rPr>
          <w:sz w:val="32"/>
        </w:rPr>
        <w:t>监测评估系统。结合国家能源消费总量和强度目标“双控”考核、交通运输综合督查等，完善</w:t>
      </w:r>
      <w:r>
        <w:rPr>
          <w:sz w:val="32"/>
          <w:szCs w:val="32"/>
        </w:rPr>
        <w:t>评估</w:t>
      </w:r>
      <w:r>
        <w:rPr>
          <w:sz w:val="32"/>
        </w:rPr>
        <w:t>考核方案及管理制度，重点</w:t>
      </w:r>
      <w:r>
        <w:rPr>
          <w:sz w:val="32"/>
          <w:szCs w:val="32"/>
        </w:rPr>
        <w:t>针对碳达峰工作以及优化运输结构、船舶及港口污染防治、新能源运输装备、</w:t>
      </w:r>
      <w:r>
        <w:rPr>
          <w:sz w:val="32"/>
        </w:rPr>
        <w:t>绿色</w:t>
      </w:r>
      <w:r>
        <w:rPr>
          <w:sz w:val="32"/>
          <w:szCs w:val="32"/>
        </w:rPr>
        <w:t>出行等重点任务推进情况开展检查与评估。依托</w:t>
      </w:r>
      <w:r>
        <w:rPr>
          <w:sz w:val="32"/>
        </w:rPr>
        <w:t>交通运输</w:t>
      </w:r>
      <w:r>
        <w:rPr>
          <w:sz w:val="32"/>
          <w:szCs w:val="32"/>
        </w:rPr>
        <w:t>行业</w:t>
      </w:r>
      <w:r>
        <w:rPr>
          <w:sz w:val="32"/>
        </w:rPr>
        <w:t>信用体系</w:t>
      </w:r>
      <w:r>
        <w:rPr>
          <w:sz w:val="32"/>
          <w:szCs w:val="32"/>
        </w:rPr>
        <w:t>建设，</w:t>
      </w:r>
      <w:r>
        <w:rPr>
          <w:sz w:val="32"/>
        </w:rPr>
        <w:t>强化绿色交通监管能力。</w:t>
      </w:r>
      <w:bookmarkEnd w:id="168"/>
    </w:p>
    <w:p>
      <w:pPr>
        <w:pStyle w:val="3"/>
        <w:spacing w:line="580" w:lineRule="exact"/>
        <w:ind w:firstLine="643"/>
        <w:rPr>
          <w:rFonts w:ascii="Times New Roman" w:hAnsi="Times New Roman"/>
        </w:rPr>
      </w:pPr>
      <w:bookmarkStart w:id="178" w:name="_Toc1284113162"/>
      <w:bookmarkStart w:id="179" w:name="_Toc1726526250"/>
      <w:bookmarkStart w:id="180" w:name="_Toc1418847773"/>
      <w:bookmarkStart w:id="181" w:name="_Toc15902"/>
      <w:bookmarkStart w:id="182" w:name="_Toc467728501"/>
      <w:bookmarkStart w:id="183" w:name="_Toc1811166460"/>
      <w:bookmarkStart w:id="184" w:name="_Toc73866722"/>
      <w:bookmarkStart w:id="185" w:name="_Toc290233736"/>
      <w:bookmarkStart w:id="186" w:name="_Toc785246135"/>
      <w:r>
        <w:rPr>
          <w:rFonts w:ascii="Times New Roman" w:hAnsi="Times New Roman"/>
        </w:rPr>
        <w:t>（七）完善合作机制，深化国际交流与合作。</w:t>
      </w:r>
      <w:bookmarkEnd w:id="178"/>
      <w:bookmarkEnd w:id="179"/>
      <w:bookmarkEnd w:id="180"/>
      <w:bookmarkEnd w:id="181"/>
      <w:bookmarkEnd w:id="182"/>
      <w:bookmarkEnd w:id="183"/>
      <w:bookmarkEnd w:id="184"/>
      <w:bookmarkEnd w:id="185"/>
      <w:bookmarkEnd w:id="186"/>
    </w:p>
    <w:p>
      <w:pPr>
        <w:spacing w:line="580" w:lineRule="exact"/>
        <w:ind w:firstLine="643" w:firstLineChars="200"/>
        <w:rPr>
          <w:kern w:val="0"/>
          <w:sz w:val="32"/>
        </w:rPr>
      </w:pPr>
      <w:r>
        <w:rPr>
          <w:b/>
          <w:bCs/>
          <w:color w:val="000000"/>
          <w:sz w:val="32"/>
          <w:szCs w:val="32"/>
        </w:rPr>
        <w:t>深度参与交通运输全球环境治理。</w:t>
      </w:r>
      <w:r>
        <w:rPr>
          <w:sz w:val="32"/>
          <w:szCs w:val="32"/>
        </w:rPr>
        <w:t>深度参与国际海运温室气体减排谈判</w:t>
      </w:r>
      <w:r>
        <w:rPr>
          <w:kern w:val="0"/>
          <w:sz w:val="32"/>
        </w:rPr>
        <w:t>，主动研提中国方案，</w:t>
      </w:r>
      <w:r>
        <w:rPr>
          <w:sz w:val="32"/>
          <w:szCs w:val="32"/>
        </w:rPr>
        <w:t>加强船舶低碳技术国际合作，引导国际规则与国内发展目标对接，推动形成公正、合理的国际制度安排</w:t>
      </w:r>
      <w:r>
        <w:rPr>
          <w:kern w:val="0"/>
          <w:sz w:val="32"/>
        </w:rPr>
        <w:t>。</w:t>
      </w:r>
    </w:p>
    <w:p>
      <w:pPr>
        <w:spacing w:line="580" w:lineRule="exact"/>
        <w:ind w:firstLine="643" w:firstLineChars="200"/>
        <w:rPr>
          <w:sz w:val="32"/>
        </w:rPr>
      </w:pPr>
      <w:r>
        <w:rPr>
          <w:b/>
          <w:bCs/>
          <w:kern w:val="0"/>
          <w:sz w:val="32"/>
          <w:szCs w:val="36"/>
        </w:rPr>
        <w:t>加强绿色交通国际交流与合作</w:t>
      </w:r>
      <w:r>
        <w:rPr>
          <w:kern w:val="0"/>
          <w:sz w:val="32"/>
          <w:szCs w:val="36"/>
        </w:rPr>
        <w:t>。巩固现有国际合作网络，继续发挥好中美、中德、中日韩等双边、区域合作机制作用，引导相关国家积极参与绿色交通发展合作议题。依托联合国全球可持续</w:t>
      </w:r>
      <w:r>
        <w:rPr>
          <w:kern w:val="0"/>
          <w:sz w:val="32"/>
        </w:rPr>
        <w:t>交通</w:t>
      </w:r>
      <w:r>
        <w:rPr>
          <w:kern w:val="0"/>
          <w:sz w:val="32"/>
          <w:szCs w:val="36"/>
        </w:rPr>
        <w:t>大会等</w:t>
      </w:r>
      <w:r>
        <w:rPr>
          <w:kern w:val="0"/>
          <w:sz w:val="32"/>
        </w:rPr>
        <w:t>，宣传中国绿色交通发展理念，推动全球生态环境治理体系建设。推动中国绿色交通标准国际化。</w:t>
      </w:r>
    </w:p>
    <w:p>
      <w:pPr>
        <w:pStyle w:val="2"/>
        <w:spacing w:line="580" w:lineRule="exact"/>
        <w:ind w:firstLine="640"/>
      </w:pPr>
      <w:bookmarkStart w:id="187" w:name="_Toc1855388335"/>
      <w:bookmarkStart w:id="188" w:name="_Toc9075"/>
      <w:bookmarkStart w:id="189" w:name="_Toc1959198570"/>
      <w:bookmarkStart w:id="190" w:name="_Toc1907455234"/>
      <w:bookmarkStart w:id="191" w:name="_Toc1517480365"/>
      <w:bookmarkStart w:id="192" w:name="_Toc58280700"/>
      <w:bookmarkStart w:id="193" w:name="_Toc56103160"/>
      <w:bookmarkStart w:id="194" w:name="_Toc986625337"/>
      <w:bookmarkStart w:id="195" w:name="_Toc73866723"/>
      <w:bookmarkStart w:id="196" w:name="_Toc45133335"/>
      <w:bookmarkStart w:id="197" w:name="_Toc1859716737"/>
      <w:r>
        <w:t>四、保障措施</w:t>
      </w:r>
      <w:bookmarkEnd w:id="187"/>
      <w:bookmarkEnd w:id="188"/>
      <w:bookmarkEnd w:id="189"/>
      <w:bookmarkEnd w:id="190"/>
      <w:bookmarkEnd w:id="191"/>
      <w:bookmarkEnd w:id="192"/>
      <w:bookmarkEnd w:id="193"/>
      <w:bookmarkEnd w:id="194"/>
      <w:bookmarkEnd w:id="195"/>
      <w:bookmarkEnd w:id="196"/>
      <w:bookmarkEnd w:id="197"/>
    </w:p>
    <w:p>
      <w:pPr>
        <w:pStyle w:val="3"/>
        <w:spacing w:line="580" w:lineRule="exact"/>
        <w:ind w:firstLine="643"/>
        <w:rPr>
          <w:rFonts w:ascii="Times New Roman" w:hAnsi="Times New Roman"/>
        </w:rPr>
      </w:pPr>
      <w:bookmarkStart w:id="198" w:name="_Toc437830833"/>
      <w:bookmarkStart w:id="199" w:name="_Toc63460785"/>
      <w:bookmarkStart w:id="200" w:name="_Toc231423924"/>
      <w:bookmarkStart w:id="201" w:name="_Toc5829"/>
      <w:bookmarkStart w:id="202" w:name="_Toc56103161"/>
      <w:bookmarkStart w:id="203" w:name="_Toc1383132909"/>
      <w:bookmarkStart w:id="204" w:name="_Toc718328321"/>
      <w:bookmarkStart w:id="205" w:name="_Toc73866724"/>
      <w:bookmarkStart w:id="206" w:name="_Toc58280701"/>
      <w:bookmarkStart w:id="207" w:name="_Toc201499478"/>
      <w:bookmarkStart w:id="208" w:name="_Toc2057010556"/>
      <w:r>
        <w:rPr>
          <w:rFonts w:ascii="Times New Roman" w:hAnsi="Times New Roman"/>
        </w:rPr>
        <w:t>（一）加强组织领导。</w:t>
      </w:r>
      <w:bookmarkEnd w:id="198"/>
      <w:bookmarkEnd w:id="199"/>
      <w:bookmarkEnd w:id="200"/>
      <w:bookmarkEnd w:id="201"/>
      <w:bookmarkEnd w:id="202"/>
      <w:bookmarkEnd w:id="203"/>
      <w:bookmarkEnd w:id="204"/>
      <w:bookmarkEnd w:id="205"/>
      <w:bookmarkEnd w:id="206"/>
      <w:bookmarkEnd w:id="207"/>
      <w:bookmarkEnd w:id="208"/>
    </w:p>
    <w:p>
      <w:pPr>
        <w:spacing w:line="580" w:lineRule="exact"/>
        <w:ind w:firstLine="640" w:firstLineChars="200"/>
        <w:rPr>
          <w:sz w:val="32"/>
        </w:rPr>
      </w:pPr>
      <w:r>
        <w:rPr>
          <w:sz w:val="32"/>
        </w:rPr>
        <w:t>各级交通运输主管部门要高度重视，把交通运输绿色发展摆在突出位置，进一步明确本区域绿色交通发展目标、重点任务和责任分工，确保各项工作落实到位。加强与有关部门沟通协调，</w:t>
      </w:r>
      <w:r>
        <w:rPr>
          <w:sz w:val="32"/>
          <w:szCs w:val="32"/>
        </w:rPr>
        <w:t>推动</w:t>
      </w:r>
      <w:r>
        <w:rPr>
          <w:sz w:val="32"/>
        </w:rPr>
        <w:t>建立</w:t>
      </w:r>
      <w:r>
        <w:rPr>
          <w:sz w:val="32"/>
          <w:szCs w:val="32"/>
        </w:rPr>
        <w:t>跨</w:t>
      </w:r>
      <w:r>
        <w:rPr>
          <w:sz w:val="32"/>
        </w:rPr>
        <w:t>部门</w:t>
      </w:r>
      <w:r>
        <w:rPr>
          <w:sz w:val="32"/>
          <w:szCs w:val="32"/>
        </w:rPr>
        <w:t>协调</w:t>
      </w:r>
      <w:r>
        <w:rPr>
          <w:sz w:val="32"/>
        </w:rPr>
        <w:t>机制，协同推进绿色交通相关工作。鼓励各级交通运输主管部门建立健全绿色交通评估与监管机制，强化绿色交通监督检查。</w:t>
      </w:r>
    </w:p>
    <w:p>
      <w:pPr>
        <w:pStyle w:val="3"/>
        <w:spacing w:line="580" w:lineRule="exact"/>
        <w:ind w:firstLine="643"/>
        <w:rPr>
          <w:rFonts w:ascii="Times New Roman" w:hAnsi="Times New Roman"/>
        </w:rPr>
      </w:pPr>
      <w:bookmarkStart w:id="209" w:name="_Toc1539606984"/>
      <w:bookmarkStart w:id="210" w:name="_Toc1116011077"/>
      <w:bookmarkStart w:id="211" w:name="_Toc1342231000"/>
      <w:bookmarkStart w:id="212" w:name="_Toc58280703"/>
      <w:bookmarkStart w:id="213" w:name="_Toc20236"/>
      <w:bookmarkStart w:id="214" w:name="_Toc73866725"/>
      <w:bookmarkStart w:id="215" w:name="_Toc1837797410"/>
      <w:bookmarkStart w:id="216" w:name="_Toc630401499"/>
      <w:bookmarkStart w:id="217" w:name="_Toc56103162"/>
      <w:bookmarkStart w:id="218" w:name="_Toc1461697340"/>
      <w:bookmarkStart w:id="219" w:name="_Toc1360632888"/>
      <w:r>
        <w:rPr>
          <w:rFonts w:ascii="Times New Roman" w:hAnsi="Times New Roman"/>
        </w:rPr>
        <w:t>（二）创新支持政策。</w:t>
      </w:r>
      <w:bookmarkEnd w:id="209"/>
      <w:bookmarkEnd w:id="210"/>
      <w:bookmarkEnd w:id="211"/>
      <w:bookmarkEnd w:id="212"/>
      <w:bookmarkEnd w:id="213"/>
      <w:bookmarkEnd w:id="214"/>
      <w:bookmarkEnd w:id="215"/>
      <w:bookmarkEnd w:id="216"/>
      <w:bookmarkEnd w:id="217"/>
      <w:bookmarkEnd w:id="218"/>
      <w:bookmarkEnd w:id="219"/>
    </w:p>
    <w:p>
      <w:pPr>
        <w:spacing w:line="580" w:lineRule="exact"/>
        <w:ind w:firstLine="640" w:firstLineChars="200"/>
        <w:rPr>
          <w:sz w:val="32"/>
        </w:rPr>
      </w:pPr>
      <w:r>
        <w:rPr>
          <w:sz w:val="32"/>
        </w:rPr>
        <w:t>建立以国家和地方政府资金为引导、企业资金为主体的绿色交通发展建设投入机制。统筹利用中央现有财政资金渠道，引导绿色交通发展，加大地方各级财政资金支持力度。积极争取国家绿色发展基金、国家低碳转型基金等资金支持，推动研究绿色金融支持交通运输绿色发展相关政策。优化公路工程建设概预算编制、施工招投标管理等规定，促进各项节能环保要求得到落实。充分发挥市场机制作用，积极推行合同能源、环境污染第三方治理等管理模式。强化交通运输企业节能环保主体责任，鼓励企业主动加大绿色发展资金投入。</w:t>
      </w:r>
    </w:p>
    <w:p>
      <w:pPr>
        <w:pStyle w:val="3"/>
        <w:spacing w:line="580" w:lineRule="exact"/>
        <w:ind w:firstLine="643"/>
        <w:rPr>
          <w:rFonts w:ascii="Times New Roman" w:hAnsi="Times New Roman"/>
        </w:rPr>
      </w:pPr>
      <w:bookmarkStart w:id="220" w:name="_Toc1282384914"/>
      <w:bookmarkStart w:id="221" w:name="_Toc1152614237"/>
      <w:bookmarkStart w:id="222" w:name="_Toc58280704"/>
      <w:bookmarkStart w:id="223" w:name="_Toc47229071"/>
      <w:bookmarkStart w:id="224" w:name="_Toc56103163"/>
      <w:bookmarkStart w:id="225" w:name="_Toc1863867231"/>
      <w:bookmarkStart w:id="226" w:name="_Toc511438748"/>
      <w:bookmarkStart w:id="227" w:name="_Toc15091"/>
      <w:bookmarkStart w:id="228" w:name="_Toc2081696507"/>
      <w:bookmarkStart w:id="229" w:name="_Toc73866726"/>
      <w:bookmarkStart w:id="230" w:name="_Toc1547830206"/>
      <w:r>
        <w:rPr>
          <w:rFonts w:ascii="Times New Roman" w:hAnsi="Times New Roman"/>
        </w:rPr>
        <w:t>（三）加大宣贯培训。</w:t>
      </w:r>
      <w:bookmarkEnd w:id="220"/>
      <w:bookmarkEnd w:id="221"/>
      <w:bookmarkEnd w:id="222"/>
      <w:bookmarkEnd w:id="223"/>
      <w:bookmarkEnd w:id="224"/>
      <w:bookmarkEnd w:id="225"/>
      <w:bookmarkEnd w:id="226"/>
      <w:bookmarkEnd w:id="227"/>
      <w:bookmarkEnd w:id="228"/>
      <w:bookmarkEnd w:id="229"/>
      <w:bookmarkEnd w:id="230"/>
    </w:p>
    <w:p>
      <w:pPr>
        <w:spacing w:line="580" w:lineRule="exact"/>
        <w:ind w:firstLine="640" w:firstLineChars="200"/>
        <w:rPr>
          <w:kern w:val="0"/>
          <w:sz w:val="32"/>
        </w:rPr>
      </w:pPr>
      <w:r>
        <w:rPr>
          <w:sz w:val="32"/>
        </w:rPr>
        <w:t>持续开展绿色交通宣传教育，引导全行业提升生态文明理念，形成全社会共同关心、支持和参与交通运输绿色发展的合力。结合世界环境日、节能宣传周、科技活动周、绿色出行宣传月和公交出行宣传周等开展绿色交通宣传。针对各级交通运输主管部门和从业人员，组织开展绿色交通相关培训，提高绿色交通工作能力和水平。</w:t>
      </w:r>
    </w:p>
    <w:p>
      <w:pPr>
        <w:spacing w:line="640" w:lineRule="exact"/>
      </w:pPr>
    </w:p>
    <w:p>
      <w:bookmarkStart w:id="231" w:name="_GoBack"/>
      <w:bookmarkEnd w:id="23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DejaVu Sans">
    <w:altName w:val="Segoe Print"/>
    <w:panose1 w:val="020B0603030804020204"/>
    <w:charset w:val="00"/>
    <w:family w:val="roman"/>
    <w:pitch w:val="default"/>
    <w:sig w:usb0="00000000" w:usb1="00000000" w:usb2="0A246029" w:usb3="0400200C" w:csb0="600001FF" w:csb1="DFFF0000"/>
  </w:font>
  <w:font w:name="楷体_GB2312">
    <w:altName w:val="楷体"/>
    <w:panose1 w:val="02010609030101010101"/>
    <w:charset w:val="86"/>
    <w:family w:val="modern"/>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6228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0"/>
      <w:szCs w:val="24"/>
      <w:lang w:val="en-US" w:eastAsia="zh-CN" w:bidi="ar-SA"/>
    </w:rPr>
  </w:style>
  <w:style w:type="paragraph" w:styleId="2">
    <w:name w:val="heading 1"/>
    <w:basedOn w:val="1"/>
    <w:next w:val="1"/>
    <w:qFormat/>
    <w:uiPriority w:val="0"/>
    <w:pPr>
      <w:keepNext/>
      <w:keepLines/>
      <w:spacing w:beforeLines="0" w:beforeAutospacing="0" w:afterLines="0" w:afterAutospacing="0" w:line="640" w:lineRule="exact"/>
      <w:ind w:firstLine="880" w:firstLineChars="200"/>
      <w:outlineLvl w:val="0"/>
    </w:pPr>
    <w:rPr>
      <w:rFonts w:eastAsia="黑体"/>
      <w:kern w:val="44"/>
      <w:sz w:val="32"/>
    </w:rPr>
  </w:style>
  <w:style w:type="paragraph" w:styleId="3">
    <w:name w:val="heading 2"/>
    <w:basedOn w:val="1"/>
    <w:next w:val="1"/>
    <w:qFormat/>
    <w:uiPriority w:val="0"/>
    <w:pPr>
      <w:keepNext/>
      <w:keepLines/>
      <w:spacing w:beforeLines="0" w:beforeAutospacing="0" w:afterLines="0" w:afterAutospacing="0" w:line="640" w:lineRule="exact"/>
      <w:ind w:firstLine="880" w:firstLineChars="200"/>
      <w:outlineLvl w:val="1"/>
    </w:pPr>
    <w:rPr>
      <w:rFonts w:ascii="DejaVu Sans" w:hAnsi="DejaVu Sans" w:eastAsia="楷体_GB2312"/>
      <w:b/>
      <w:sz w:val="32"/>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toc 1"/>
    <w:basedOn w:val="1"/>
    <w:next w:val="1"/>
    <w:uiPriority w:val="0"/>
  </w:style>
  <w:style w:type="paragraph" w:styleId="5">
    <w:name w:val="toc 2"/>
    <w:basedOn w:val="1"/>
    <w:next w:val="1"/>
    <w:uiPriority w:val="0"/>
    <w:pPr>
      <w:ind w:left="420" w:leftChars="200"/>
    </w:pPr>
  </w:style>
  <w:style w:type="paragraph" w:customStyle="1" w:styleId="8">
    <w:name w:val="WPSOffice手动目录 2"/>
    <w:qFormat/>
    <w:uiPriority w:val="0"/>
    <w:pPr>
      <w:ind w:leftChars="200"/>
    </w:pPr>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2022-01-24T05:57:50Z</dcterms:created>
  <dc:creator>Administrator</dc:creator>
  <cp:lastModifiedBy>GIT-大Ju</cp:lastModifiedBy>
  <dcterms:modified xsi:type="dcterms:W3CDTF">2022-01-24T05:57:55Z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B1CD0EE05B974D22AA5EB71CD992D289</vt:lpwstr>
  </property>
</Properties>
</file>