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附件：会议列席人员名单</w:t>
      </w:r>
    </w:p>
    <w:p>
      <w:pPr>
        <w:jc w:val="both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720" w:firstLineChars="200"/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会议列席人员名单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8"/>
        <w:gridCol w:w="1500"/>
        <w:gridCol w:w="30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中国交通企业管理协会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赵振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副会长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中国交通企业管理协会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窦雪松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副秘书长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大连港股份有限公司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张弘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副总法律顾问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交通运输部科学研究院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李燕霞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研究员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交通运输部科学研究院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涂梅超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研究实习员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营口港股份有限公司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马英姿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总法律顾问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营口港股份有限公司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姚璐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法律专员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天津港（集团）有限公司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王莜维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法务管理员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天津港（集团）有限公司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杨琦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广州港集团有限公司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芮冬晓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秦皇岛港股份有限公司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金敬芳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秦皇岛港股份有限公司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郭云哲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浙江省海港集团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张建军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集团战略研究与法务部副主任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浙江省海港集团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朱健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申万宏源证券有限公司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牟君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业务董事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北京金诚同达律师事务所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周振国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高级合伙人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中交广航局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黄泽超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法律风控部法务经理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中交广航局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冯旭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法律风控部法务经理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山东省港口集团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孙付春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党委常委、副总经理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山东省港口集团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李学明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副部长（主持工作）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山东省港口集团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刁文浩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副主管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山东省港口集团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刘文婷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山东省港口集团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陈祥验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387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山东省港口集团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王诗雨</w:t>
            </w:r>
          </w:p>
        </w:tc>
        <w:tc>
          <w:tcPr>
            <w:tcW w:w="301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市北区检察院（挂职）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山东港口青岛港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刘水国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山东港口青岛港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李雪梅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法务副经理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山东港口日照港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吕佐武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副部长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山东港口日照港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申一钧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法务管理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山东港口烟台港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李小林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副部长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山东港口烟台港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王元秋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山东港口烟台港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宫凡奇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法律顾问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山东港口渤海湾港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李宏伟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部长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山东港口渤海湾港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高翔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2020-09-29T01:32:57Z</dcterms:created>
  <dc:creator>sd</dc:creator>
  <cp:lastModifiedBy>GIT-大Ju</cp:lastModifiedBy>
  <dcterms:modified xsi:type="dcterms:W3CDTF">2020-09-29T01:34:00Z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